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1016"/>
      </w:tblGrid>
      <w:tr w:rsidR="00C73590" w14:paraId="079AD2BF" w14:textId="77777777" w:rsidTr="00C73590">
        <w:tc>
          <w:tcPr>
            <w:tcW w:w="11016" w:type="dxa"/>
            <w:tcBorders>
              <w:top w:val="single" w:sz="6" w:space="0" w:color="auto"/>
              <w:left w:val="single" w:sz="6" w:space="0" w:color="auto"/>
              <w:bottom w:val="nil"/>
              <w:right w:val="single" w:sz="6" w:space="0" w:color="auto"/>
            </w:tcBorders>
            <w:shd w:val="solid" w:color="000000" w:fill="auto"/>
          </w:tcPr>
          <w:p w14:paraId="14CFEBEE" w14:textId="77777777" w:rsidR="00C73590" w:rsidRDefault="00C73590" w:rsidP="00334B42">
            <w:pPr>
              <w:spacing w:before="40" w:after="40"/>
              <w:jc w:val="center"/>
              <w:rPr>
                <w:b/>
                <w:bCs/>
                <w:color w:val="FFFFFF"/>
                <w:sz w:val="24"/>
                <w:szCs w:val="24"/>
              </w:rPr>
            </w:pPr>
            <w:bookmarkStart w:id="0" w:name="_GoBack"/>
            <w:bookmarkEnd w:id="0"/>
            <w:r>
              <w:rPr>
                <w:rFonts w:eastAsia="Times New Roman"/>
                <w:b/>
                <w:bCs/>
                <w:color w:val="FFFFFF"/>
                <w:sz w:val="24"/>
                <w:szCs w:val="24"/>
              </w:rPr>
              <w:t>Week 2 RESOURCES</w:t>
            </w:r>
          </w:p>
        </w:tc>
      </w:tr>
      <w:tr w:rsidR="007B6B24" w14:paraId="0CEA737F" w14:textId="77777777" w:rsidTr="00C73590">
        <w:tc>
          <w:tcPr>
            <w:tcW w:w="11016" w:type="dxa"/>
            <w:tcBorders>
              <w:top w:val="nil"/>
              <w:left w:val="single" w:sz="6" w:space="0" w:color="auto"/>
              <w:bottom w:val="nil"/>
              <w:right w:val="single" w:sz="6" w:space="0" w:color="auto"/>
            </w:tcBorders>
          </w:tcPr>
          <w:p w14:paraId="59938F39" w14:textId="77777777" w:rsidR="007B6B24" w:rsidRDefault="0020361C">
            <w:pPr>
              <w:spacing w:before="120" w:after="120"/>
              <w:jc w:val="center"/>
              <w:rPr>
                <w:sz w:val="36"/>
                <w:szCs w:val="36"/>
              </w:rPr>
            </w:pPr>
            <w:r>
              <w:rPr>
                <w:i/>
                <w:iCs/>
                <w:sz w:val="36"/>
                <w:szCs w:val="36"/>
              </w:rPr>
              <w:t>Visioning Techniques</w:t>
            </w:r>
          </w:p>
        </w:tc>
      </w:tr>
      <w:tr w:rsidR="007B6B24" w14:paraId="3681EF04" w14:textId="77777777" w:rsidTr="00C73590">
        <w:tc>
          <w:tcPr>
            <w:tcW w:w="11016" w:type="dxa"/>
            <w:tcBorders>
              <w:top w:val="double" w:sz="6" w:space="0" w:color="auto"/>
              <w:left w:val="single" w:sz="6" w:space="0" w:color="auto"/>
              <w:bottom w:val="double" w:sz="6" w:space="0" w:color="auto"/>
              <w:right w:val="single" w:sz="6" w:space="0" w:color="auto"/>
            </w:tcBorders>
          </w:tcPr>
          <w:p w14:paraId="195D974C" w14:textId="77777777" w:rsidR="007B6B24" w:rsidRDefault="0020361C">
            <w:pPr>
              <w:spacing w:before="120" w:after="120"/>
              <w:rPr>
                <w:i/>
                <w:iCs/>
                <w:sz w:val="24"/>
                <w:szCs w:val="24"/>
              </w:rPr>
            </w:pPr>
            <w:r>
              <w:rPr>
                <w:i/>
                <w:iCs/>
                <w:sz w:val="24"/>
                <w:szCs w:val="24"/>
              </w:rPr>
              <w:t>These techniques help participants imagine the future, usually the ideal future.</w:t>
            </w:r>
          </w:p>
        </w:tc>
      </w:tr>
      <w:tr w:rsidR="007B6B24" w14:paraId="74B8E8A1" w14:textId="77777777" w:rsidTr="00C73590">
        <w:tc>
          <w:tcPr>
            <w:tcW w:w="11016" w:type="dxa"/>
            <w:tcBorders>
              <w:top w:val="double" w:sz="6" w:space="0" w:color="auto"/>
              <w:left w:val="single" w:sz="6" w:space="0" w:color="auto"/>
              <w:bottom w:val="nil"/>
              <w:right w:val="single" w:sz="6" w:space="0" w:color="auto"/>
            </w:tcBorders>
          </w:tcPr>
          <w:p w14:paraId="31BB2CF8" w14:textId="77777777" w:rsidR="007B6B24" w:rsidRDefault="0020361C">
            <w:pPr>
              <w:spacing w:before="60" w:after="60"/>
              <w:rPr>
                <w:sz w:val="28"/>
                <w:szCs w:val="28"/>
              </w:rPr>
            </w:pPr>
            <w:r>
              <w:rPr>
                <w:b/>
                <w:bCs/>
                <w:sz w:val="28"/>
                <w:szCs w:val="28"/>
              </w:rPr>
              <w:t>Wish List</w:t>
            </w:r>
          </w:p>
        </w:tc>
      </w:tr>
      <w:tr w:rsidR="007B6B24" w14:paraId="4A076427" w14:textId="77777777" w:rsidTr="00C73590">
        <w:tc>
          <w:tcPr>
            <w:tcW w:w="11016" w:type="dxa"/>
            <w:tcBorders>
              <w:top w:val="dashed" w:sz="4" w:space="0" w:color="000000"/>
              <w:left w:val="single" w:sz="6" w:space="0" w:color="auto"/>
              <w:bottom w:val="nil"/>
              <w:right w:val="single" w:sz="6" w:space="0" w:color="auto"/>
            </w:tcBorders>
          </w:tcPr>
          <w:p w14:paraId="74C14DB7" w14:textId="77777777" w:rsidR="007B6B24" w:rsidRDefault="0020361C">
            <w:pPr>
              <w:spacing w:before="60" w:after="60"/>
              <w:rPr>
                <w:i/>
                <w:iCs/>
                <w:sz w:val="24"/>
                <w:szCs w:val="24"/>
              </w:rPr>
            </w:pPr>
            <w:r>
              <w:rPr>
                <w:i/>
                <w:iCs/>
                <w:sz w:val="24"/>
                <w:szCs w:val="24"/>
              </w:rPr>
              <w:t>Generating wishes</w:t>
            </w:r>
          </w:p>
          <w:p w14:paraId="36CF4E9B" w14:textId="55282191" w:rsidR="007B6B24" w:rsidRDefault="0020361C" w:rsidP="002F41BC">
            <w:pPr>
              <w:spacing w:before="60" w:after="60"/>
              <w:rPr>
                <w:rFonts w:ascii="Arial" w:hAnsi="Arial" w:cs="Arial"/>
                <w:sz w:val="24"/>
                <w:szCs w:val="24"/>
              </w:rPr>
            </w:pPr>
            <w:r>
              <w:rPr>
                <w:sz w:val="24"/>
                <w:szCs w:val="24"/>
              </w:rPr>
              <w:t xml:space="preserve">Ask </w:t>
            </w:r>
            <w:r w:rsidR="00AF527F">
              <w:rPr>
                <w:sz w:val="24"/>
                <w:szCs w:val="24"/>
              </w:rPr>
              <w:t xml:space="preserve">participants </w:t>
            </w:r>
            <w:r>
              <w:rPr>
                <w:sz w:val="24"/>
                <w:szCs w:val="24"/>
              </w:rPr>
              <w:t xml:space="preserve">to “let themselves go” and imagine an ideal situation where, for example, </w:t>
            </w:r>
            <w:r w:rsidR="002F41BC">
              <w:rPr>
                <w:sz w:val="24"/>
                <w:szCs w:val="24"/>
              </w:rPr>
              <w:t xml:space="preserve">they </w:t>
            </w:r>
            <w:r>
              <w:rPr>
                <w:sz w:val="24"/>
                <w:szCs w:val="24"/>
              </w:rPr>
              <w:t xml:space="preserve">would be granted any wish </w:t>
            </w:r>
            <w:r w:rsidR="002F41BC">
              <w:rPr>
                <w:sz w:val="24"/>
                <w:szCs w:val="24"/>
              </w:rPr>
              <w:t xml:space="preserve">they </w:t>
            </w:r>
            <w:r>
              <w:rPr>
                <w:sz w:val="24"/>
                <w:szCs w:val="24"/>
              </w:rPr>
              <w:t xml:space="preserve">want by a fairy godmother, </w:t>
            </w:r>
            <w:r w:rsidR="002F41BC">
              <w:rPr>
                <w:sz w:val="24"/>
                <w:szCs w:val="24"/>
              </w:rPr>
              <w:t xml:space="preserve">or could </w:t>
            </w:r>
            <w:r>
              <w:rPr>
                <w:sz w:val="24"/>
                <w:szCs w:val="24"/>
              </w:rPr>
              <w:t xml:space="preserve">win the lottery and </w:t>
            </w:r>
            <w:r w:rsidR="002F41BC">
              <w:rPr>
                <w:sz w:val="24"/>
                <w:szCs w:val="24"/>
              </w:rPr>
              <w:t xml:space="preserve">have </w:t>
            </w:r>
            <w:r>
              <w:rPr>
                <w:sz w:val="24"/>
                <w:szCs w:val="24"/>
              </w:rPr>
              <w:t>unlimited resources, or by whatever else sets the tone.  Select a quiet place without interruptions, or play soothing background music.</w:t>
            </w:r>
          </w:p>
        </w:tc>
      </w:tr>
      <w:tr w:rsidR="007B6B24" w14:paraId="50B8EE1F" w14:textId="77777777" w:rsidTr="00C73590">
        <w:tc>
          <w:tcPr>
            <w:tcW w:w="11016" w:type="dxa"/>
            <w:tcBorders>
              <w:top w:val="dashed" w:sz="4" w:space="0" w:color="000000"/>
              <w:left w:val="single" w:sz="6" w:space="0" w:color="auto"/>
              <w:bottom w:val="nil"/>
              <w:right w:val="single" w:sz="6" w:space="0" w:color="auto"/>
            </w:tcBorders>
          </w:tcPr>
          <w:p w14:paraId="189A0FD3" w14:textId="77777777" w:rsidR="007B6B24" w:rsidRDefault="0020361C">
            <w:pPr>
              <w:spacing w:before="60" w:after="60"/>
              <w:rPr>
                <w:i/>
                <w:iCs/>
                <w:sz w:val="24"/>
                <w:szCs w:val="24"/>
              </w:rPr>
            </w:pPr>
            <w:r>
              <w:rPr>
                <w:i/>
                <w:iCs/>
                <w:sz w:val="24"/>
                <w:szCs w:val="24"/>
              </w:rPr>
              <w:t>Exploring the possibilities</w:t>
            </w:r>
          </w:p>
          <w:p w14:paraId="695DDB74" w14:textId="77777777" w:rsidR="007B6B24" w:rsidRDefault="0020361C">
            <w:pPr>
              <w:spacing w:before="60" w:after="60"/>
              <w:rPr>
                <w:rFonts w:ascii="Arial" w:hAnsi="Arial" w:cs="Arial"/>
                <w:sz w:val="24"/>
                <w:szCs w:val="24"/>
              </w:rPr>
            </w:pPr>
            <w:r>
              <w:rPr>
                <w:sz w:val="24"/>
                <w:szCs w:val="24"/>
              </w:rPr>
              <w:t>Encourage everyone to review their lists: what did they discover about themselves or the situation?  Then take it another step: what would it actually take to make this wish come true?</w:t>
            </w:r>
          </w:p>
        </w:tc>
      </w:tr>
      <w:tr w:rsidR="007B6B24" w14:paraId="040C39AC" w14:textId="77777777" w:rsidTr="00C73590">
        <w:tc>
          <w:tcPr>
            <w:tcW w:w="11016" w:type="dxa"/>
            <w:tcBorders>
              <w:top w:val="single" w:sz="12" w:space="0" w:color="000000"/>
              <w:left w:val="single" w:sz="6" w:space="0" w:color="auto"/>
              <w:bottom w:val="dashed" w:sz="4" w:space="0" w:color="000000"/>
              <w:right w:val="single" w:sz="6" w:space="0" w:color="auto"/>
            </w:tcBorders>
          </w:tcPr>
          <w:p w14:paraId="6193F433" w14:textId="77777777" w:rsidR="007B6B24" w:rsidRDefault="0020361C">
            <w:pPr>
              <w:spacing w:before="60" w:after="60"/>
              <w:rPr>
                <w:b/>
                <w:bCs/>
                <w:sz w:val="28"/>
                <w:szCs w:val="28"/>
              </w:rPr>
            </w:pPr>
            <w:r>
              <w:rPr>
                <w:b/>
                <w:bCs/>
                <w:sz w:val="28"/>
                <w:szCs w:val="28"/>
              </w:rPr>
              <w:t>The Ideal Scenario</w:t>
            </w:r>
          </w:p>
        </w:tc>
      </w:tr>
      <w:tr w:rsidR="007B6B24" w14:paraId="6A6792AC" w14:textId="77777777" w:rsidTr="00C73590">
        <w:tc>
          <w:tcPr>
            <w:tcW w:w="11016" w:type="dxa"/>
            <w:tcBorders>
              <w:top w:val="nil"/>
              <w:left w:val="single" w:sz="6" w:space="0" w:color="auto"/>
              <w:bottom w:val="nil"/>
              <w:right w:val="single" w:sz="6" w:space="0" w:color="auto"/>
            </w:tcBorders>
          </w:tcPr>
          <w:p w14:paraId="640D3999" w14:textId="73568AB6" w:rsidR="007B6B24" w:rsidRDefault="0020361C" w:rsidP="002F41BC">
            <w:pPr>
              <w:spacing w:before="60" w:after="60"/>
              <w:rPr>
                <w:rFonts w:ascii="Arial" w:hAnsi="Arial" w:cs="Arial"/>
                <w:sz w:val="24"/>
                <w:szCs w:val="24"/>
              </w:rPr>
            </w:pPr>
            <w:r>
              <w:rPr>
                <w:sz w:val="24"/>
                <w:szCs w:val="24"/>
              </w:rPr>
              <w:t>Ask the group to imagine what the ideal future or solution would look like.  This can be done with words or with images.  For example, participants could pour through visually rich magazines, select images and paste them together in a collage.  Follow the creation with discussion and exploration.</w:t>
            </w:r>
          </w:p>
        </w:tc>
      </w:tr>
      <w:tr w:rsidR="007B6B24" w14:paraId="2835D333" w14:textId="77777777" w:rsidTr="00C73590">
        <w:tc>
          <w:tcPr>
            <w:tcW w:w="11016" w:type="dxa"/>
            <w:tcBorders>
              <w:top w:val="single" w:sz="12" w:space="0" w:color="000000"/>
              <w:left w:val="single" w:sz="6" w:space="0" w:color="auto"/>
              <w:bottom w:val="nil"/>
              <w:right w:val="single" w:sz="6" w:space="0" w:color="auto"/>
            </w:tcBorders>
          </w:tcPr>
          <w:p w14:paraId="2272C680" w14:textId="77777777" w:rsidR="007B6B24" w:rsidRDefault="0020361C">
            <w:pPr>
              <w:spacing w:before="60" w:after="60"/>
              <w:ind w:left="720" w:hanging="720"/>
              <w:rPr>
                <w:b/>
                <w:bCs/>
                <w:sz w:val="28"/>
                <w:szCs w:val="28"/>
              </w:rPr>
            </w:pPr>
            <w:r>
              <w:rPr>
                <w:b/>
                <w:bCs/>
                <w:sz w:val="28"/>
                <w:szCs w:val="28"/>
              </w:rPr>
              <w:t>Time Machine</w:t>
            </w:r>
          </w:p>
        </w:tc>
      </w:tr>
      <w:tr w:rsidR="007B6B24" w14:paraId="35FA3376" w14:textId="77777777" w:rsidTr="00C73590">
        <w:tc>
          <w:tcPr>
            <w:tcW w:w="11016" w:type="dxa"/>
            <w:tcBorders>
              <w:top w:val="dashed" w:sz="4" w:space="0" w:color="000000"/>
              <w:left w:val="single" w:sz="6" w:space="0" w:color="auto"/>
              <w:bottom w:val="single" w:sz="6" w:space="0" w:color="auto"/>
              <w:right w:val="single" w:sz="6" w:space="0" w:color="auto"/>
            </w:tcBorders>
          </w:tcPr>
          <w:p w14:paraId="33F415EF" w14:textId="7F9CA405" w:rsidR="007B6B24" w:rsidRDefault="0020361C" w:rsidP="00E62D5F">
            <w:pPr>
              <w:spacing w:before="60" w:after="60"/>
              <w:rPr>
                <w:rFonts w:ascii="Arial" w:hAnsi="Arial" w:cs="Arial"/>
                <w:sz w:val="24"/>
                <w:szCs w:val="24"/>
              </w:rPr>
            </w:pPr>
            <w:r>
              <w:rPr>
                <w:sz w:val="24"/>
                <w:szCs w:val="24"/>
              </w:rPr>
              <w:t>As another alternative, ask participants to pretend that they can time travel 5–7 years from now</w:t>
            </w:r>
            <w:r w:rsidR="002F41BC">
              <w:rPr>
                <w:sz w:val="24"/>
                <w:szCs w:val="24"/>
              </w:rPr>
              <w:t xml:space="preserve"> into the future</w:t>
            </w:r>
            <w:r>
              <w:rPr>
                <w:sz w:val="24"/>
                <w:szCs w:val="24"/>
              </w:rPr>
              <w:t>. What would the situation look like then?  What would have been accomplished?  Add whatever questions are relevant to the creative challenge being explored.</w:t>
            </w:r>
          </w:p>
        </w:tc>
      </w:tr>
      <w:tr w:rsidR="007B6B24" w14:paraId="2434DCAB" w14:textId="77777777">
        <w:tc>
          <w:tcPr>
            <w:tcW w:w="11016" w:type="dxa"/>
            <w:tcBorders>
              <w:top w:val="nil"/>
              <w:left w:val="nil"/>
              <w:bottom w:val="nil"/>
              <w:right w:val="nil"/>
            </w:tcBorders>
          </w:tcPr>
          <w:p w14:paraId="5A951433" w14:textId="77777777" w:rsidR="007B6B24" w:rsidRDefault="0020361C">
            <w:pPr>
              <w:spacing w:before="120"/>
              <w:jc w:val="center"/>
              <w:rPr>
                <w:i/>
                <w:iCs/>
              </w:rPr>
            </w:pPr>
            <w:r>
              <w:rPr>
                <w:sz w:val="16"/>
                <w:szCs w:val="16"/>
              </w:rPr>
              <w:br/>
              <w:t xml:space="preserve">Inspired by tools in </w:t>
            </w:r>
            <w:r>
              <w:rPr>
                <w:i/>
                <w:iCs/>
                <w:sz w:val="16"/>
                <w:szCs w:val="16"/>
              </w:rPr>
              <w:t>Flash of Brilliance</w:t>
            </w:r>
            <w:r>
              <w:rPr>
                <w:sz w:val="16"/>
                <w:szCs w:val="16"/>
              </w:rPr>
              <w:t xml:space="preserve">, by William C. Miller.  Reading, MA: </w:t>
            </w:r>
            <w:proofErr w:type="spellStart"/>
            <w:r>
              <w:rPr>
                <w:sz w:val="16"/>
                <w:szCs w:val="16"/>
              </w:rPr>
              <w:t>Persus</w:t>
            </w:r>
            <w:proofErr w:type="spellEnd"/>
            <w:r>
              <w:rPr>
                <w:sz w:val="16"/>
                <w:szCs w:val="16"/>
              </w:rPr>
              <w:t xml:space="preserve"> Books, 1999.</w:t>
            </w:r>
          </w:p>
        </w:tc>
      </w:tr>
    </w:tbl>
    <w:p w14:paraId="1B02546E" w14:textId="77777777" w:rsidR="0020361C" w:rsidRDefault="0020361C"/>
    <w:sectPr w:rsidR="0020361C">
      <w:pgSz w:w="12240" w:h="15840"/>
      <w:pgMar w:top="48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90"/>
    <w:rsid w:val="0020361C"/>
    <w:rsid w:val="002F41BC"/>
    <w:rsid w:val="00356478"/>
    <w:rsid w:val="007B6B24"/>
    <w:rsid w:val="00AE6AFE"/>
    <w:rsid w:val="00AF527F"/>
    <w:rsid w:val="00C73590"/>
    <w:rsid w:val="00E62D5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A6E9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Times New Roman"/>
      <w:sz w:val="20"/>
      <w:szCs w:val="20"/>
      <w:lang w:val="en-US"/>
    </w:rPr>
  </w:style>
  <w:style w:type="paragraph" w:styleId="Ttulo2">
    <w:name w:val="heading 2"/>
    <w:basedOn w:val="Normal"/>
    <w:next w:val="Normal"/>
    <w:link w:val="Ttulo2Car"/>
    <w:uiPriority w:val="99"/>
    <w:qFormat/>
    <w:pPr>
      <w:keepNext/>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lang w:val="en-US"/>
    </w:rPr>
  </w:style>
  <w:style w:type="paragraph" w:styleId="Textoindependiente">
    <w:name w:val="Body Text"/>
    <w:basedOn w:val="Normal"/>
    <w:link w:val="TextoindependienteCar"/>
    <w:uiPriority w:val="99"/>
    <w:pPr>
      <w:tabs>
        <w:tab w:val="left" w:pos="3825"/>
      </w:tabs>
    </w:pPr>
    <w:rPr>
      <w:i/>
      <w:iCs/>
    </w:r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sz w:val="20"/>
      <w:szCs w:val="20"/>
      <w:lang w:val="en-US"/>
    </w:rPr>
  </w:style>
  <w:style w:type="paragraph" w:styleId="Textomacro">
    <w:name w:val="macro"/>
    <w:link w:val="TextomacroCar"/>
    <w:uiPriority w:val="99"/>
    <w:pPr>
      <w:tabs>
        <w:tab w:val="left" w:pos="200"/>
        <w:tab w:val="left" w:pos="400"/>
        <w:tab w:val="left" w:pos="600"/>
        <w:tab w:val="left" w:pos="800"/>
        <w:tab w:val="left" w:pos="1000"/>
        <w:tab w:val="left" w:pos="1200"/>
      </w:tabs>
      <w:autoSpaceDE w:val="0"/>
      <w:autoSpaceDN w:val="0"/>
      <w:spacing w:after="0" w:line="240" w:lineRule="auto"/>
    </w:pPr>
    <w:rPr>
      <w:rFonts w:ascii="Courier" w:hAnsi="Courier" w:cs="Courier"/>
      <w:sz w:val="20"/>
      <w:szCs w:val="20"/>
      <w:lang w:val="en-US"/>
    </w:rPr>
  </w:style>
  <w:style w:type="character" w:customStyle="1" w:styleId="TextomacroCar">
    <w:name w:val="Texto macro Car"/>
    <w:basedOn w:val="Fuentedeprrafopredeter"/>
    <w:link w:val="Textomacro"/>
    <w:uiPriority w:val="99"/>
    <w:semiHidden/>
    <w:rPr>
      <w:rFonts w:ascii="Courier New" w:hAnsi="Courier New" w:cs="Courier New"/>
      <w:sz w:val="20"/>
      <w:szCs w:val="20"/>
      <w:lang w:val="en-US"/>
    </w:rPr>
  </w:style>
  <w:style w:type="paragraph" w:styleId="Textodeglobo">
    <w:name w:val="Balloon Text"/>
    <w:basedOn w:val="Normal"/>
    <w:link w:val="TextodegloboCar"/>
    <w:uiPriority w:val="99"/>
    <w:semiHidden/>
    <w:unhideWhenUsed/>
    <w:rsid w:val="00AF527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F527F"/>
    <w:rPr>
      <w:rFonts w:ascii="Lucida Grande" w:hAnsi="Lucida Grande" w:cs="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Times New Roman"/>
      <w:sz w:val="20"/>
      <w:szCs w:val="20"/>
      <w:lang w:val="en-US"/>
    </w:rPr>
  </w:style>
  <w:style w:type="paragraph" w:styleId="Ttulo2">
    <w:name w:val="heading 2"/>
    <w:basedOn w:val="Normal"/>
    <w:next w:val="Normal"/>
    <w:link w:val="Ttulo2Car"/>
    <w:uiPriority w:val="99"/>
    <w:qFormat/>
    <w:pPr>
      <w:keepNext/>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lang w:val="en-US"/>
    </w:rPr>
  </w:style>
  <w:style w:type="paragraph" w:styleId="Textoindependiente">
    <w:name w:val="Body Text"/>
    <w:basedOn w:val="Normal"/>
    <w:link w:val="TextoindependienteCar"/>
    <w:uiPriority w:val="99"/>
    <w:pPr>
      <w:tabs>
        <w:tab w:val="left" w:pos="3825"/>
      </w:tabs>
    </w:pPr>
    <w:rPr>
      <w:i/>
      <w:iCs/>
    </w:r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sz w:val="20"/>
      <w:szCs w:val="20"/>
      <w:lang w:val="en-US"/>
    </w:rPr>
  </w:style>
  <w:style w:type="paragraph" w:styleId="Textomacro">
    <w:name w:val="macro"/>
    <w:link w:val="TextomacroCar"/>
    <w:uiPriority w:val="99"/>
    <w:pPr>
      <w:tabs>
        <w:tab w:val="left" w:pos="200"/>
        <w:tab w:val="left" w:pos="400"/>
        <w:tab w:val="left" w:pos="600"/>
        <w:tab w:val="left" w:pos="800"/>
        <w:tab w:val="left" w:pos="1000"/>
        <w:tab w:val="left" w:pos="1200"/>
      </w:tabs>
      <w:autoSpaceDE w:val="0"/>
      <w:autoSpaceDN w:val="0"/>
      <w:spacing w:after="0" w:line="240" w:lineRule="auto"/>
    </w:pPr>
    <w:rPr>
      <w:rFonts w:ascii="Courier" w:hAnsi="Courier" w:cs="Courier"/>
      <w:sz w:val="20"/>
      <w:szCs w:val="20"/>
      <w:lang w:val="en-US"/>
    </w:rPr>
  </w:style>
  <w:style w:type="character" w:customStyle="1" w:styleId="TextomacroCar">
    <w:name w:val="Texto macro Car"/>
    <w:basedOn w:val="Fuentedeprrafopredeter"/>
    <w:link w:val="Textomacro"/>
    <w:uiPriority w:val="99"/>
    <w:semiHidden/>
    <w:rPr>
      <w:rFonts w:ascii="Courier New" w:hAnsi="Courier New" w:cs="Courier New"/>
      <w:sz w:val="20"/>
      <w:szCs w:val="20"/>
      <w:lang w:val="en-US"/>
    </w:rPr>
  </w:style>
  <w:style w:type="paragraph" w:styleId="Textodeglobo">
    <w:name w:val="Balloon Text"/>
    <w:basedOn w:val="Normal"/>
    <w:link w:val="TextodegloboCar"/>
    <w:uiPriority w:val="99"/>
    <w:semiHidden/>
    <w:unhideWhenUsed/>
    <w:rsid w:val="00AF527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F527F"/>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1181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Worksheet for Forming a Team</vt:lpstr>
    </vt:vector>
  </TitlesOfParts>
  <Company>Harvard Business School Publishing</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2 RESOURCES</dc:title>
  <dc:subject>Week 2 RESOURCES</dc:subject>
  <dc:creator>Maria del Carmen Abraham</dc:creator>
  <cp:lastModifiedBy>Bolivar Solorzano</cp:lastModifiedBy>
  <cp:revision>6</cp:revision>
  <cp:lastPrinted>1999-12-13T20:22:00Z</cp:lastPrinted>
  <dcterms:created xsi:type="dcterms:W3CDTF">2013-10-23T05:07:00Z</dcterms:created>
  <dcterms:modified xsi:type="dcterms:W3CDTF">2013-11-11T21:01:00Z</dcterms:modified>
</cp:coreProperties>
</file>