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78" w:rsidRPr="00C76878" w:rsidRDefault="00C76878" w:rsidP="00C76878">
      <w:pPr>
        <w:spacing w:after="0" w:line="240" w:lineRule="auto"/>
        <w:jc w:val="center"/>
        <w:rPr>
          <w:rFonts w:ascii="Arial Narrow" w:eastAsia="Times New Roman" w:hAnsi="Arial Narrow" w:cs="Arial"/>
          <w:b/>
          <w:color w:val="000000"/>
          <w:sz w:val="20"/>
          <w:szCs w:val="20"/>
          <w:lang w:eastAsia="es-ES"/>
        </w:rPr>
      </w:pPr>
      <w:r w:rsidRPr="00C76878">
        <w:rPr>
          <w:rFonts w:ascii="Arial Narrow" w:hAnsi="Arial Narrow" w:cs="Arial"/>
          <w:b/>
          <w:sz w:val="20"/>
          <w:szCs w:val="20"/>
        </w:rPr>
        <w:t>CRITERIO INSTITUCIONAL SOBRE EL CONTRIBUYENTE</w:t>
      </w:r>
      <w:r w:rsidRPr="00C76878">
        <w:rPr>
          <w:rFonts w:ascii="Arial Narrow" w:eastAsia="Times New Roman" w:hAnsi="Arial Narrow" w:cs="Arial"/>
          <w:b/>
          <w:color w:val="000000"/>
          <w:sz w:val="20"/>
          <w:szCs w:val="20"/>
          <w:lang w:eastAsia="es-ES"/>
        </w:rPr>
        <w:t xml:space="preserve"> EN LOS SERVICIOS QUE BRINDAN LOS CENTROS DE RECREO Y SIMILARES, LOS HOTELES, MOTELES, PENSIONES Y CASAS DE ESTANCIA TRANSITORIA O NO</w:t>
      </w:r>
    </w:p>
    <w:p w:rsidR="00C76878" w:rsidRPr="00C76878" w:rsidRDefault="00C76878" w:rsidP="00C76878">
      <w:pPr>
        <w:spacing w:after="0" w:line="240" w:lineRule="auto"/>
        <w:jc w:val="center"/>
        <w:rPr>
          <w:rFonts w:ascii="Arial Narrow" w:eastAsia="Times New Roman" w:hAnsi="Arial Narrow" w:cs="Arial"/>
          <w:b/>
          <w:color w:val="000000"/>
          <w:sz w:val="20"/>
          <w:szCs w:val="20"/>
          <w:lang w:eastAsia="es-ES"/>
        </w:rPr>
      </w:pPr>
    </w:p>
    <w:p w:rsidR="00C76878" w:rsidRPr="00C76878" w:rsidRDefault="00C76878" w:rsidP="00C76878">
      <w:pPr>
        <w:spacing w:after="0" w:line="240" w:lineRule="auto"/>
        <w:jc w:val="center"/>
        <w:rPr>
          <w:rFonts w:ascii="Arial Narrow" w:eastAsia="Times New Roman" w:hAnsi="Arial Narrow" w:cs="Arial"/>
          <w:b/>
          <w:color w:val="000000"/>
          <w:sz w:val="20"/>
          <w:szCs w:val="20"/>
          <w:lang w:eastAsia="es-ES"/>
        </w:rPr>
      </w:pPr>
    </w:p>
    <w:p w:rsidR="00C76878" w:rsidRPr="00C76878" w:rsidRDefault="00C76878" w:rsidP="00C76878">
      <w:pPr>
        <w:spacing w:after="0" w:line="240" w:lineRule="auto"/>
        <w:jc w:val="center"/>
        <w:rPr>
          <w:rFonts w:ascii="Arial Narrow" w:hAnsi="Arial Narrow" w:cs="Arial"/>
          <w:b/>
          <w:sz w:val="20"/>
          <w:szCs w:val="20"/>
        </w:rPr>
      </w:pPr>
      <w:r w:rsidRPr="00C76878">
        <w:rPr>
          <w:rFonts w:ascii="Arial Narrow" w:hAnsi="Arial Narrow" w:cs="Arial"/>
          <w:b/>
          <w:sz w:val="20"/>
          <w:szCs w:val="20"/>
        </w:rPr>
        <w:t>DIRECCIÓN GENERAL DE TRIBUTACION</w:t>
      </w:r>
    </w:p>
    <w:p w:rsidR="00C76878" w:rsidRPr="00C76878" w:rsidRDefault="00C76878" w:rsidP="00C76878">
      <w:pPr>
        <w:spacing w:after="0" w:line="240" w:lineRule="auto"/>
        <w:jc w:val="center"/>
        <w:rPr>
          <w:rFonts w:ascii="Arial Narrow" w:hAnsi="Arial Narrow" w:cs="Arial"/>
          <w:b/>
          <w:sz w:val="20"/>
          <w:szCs w:val="20"/>
        </w:rPr>
      </w:pPr>
    </w:p>
    <w:p w:rsidR="00C76878" w:rsidRPr="00C76878" w:rsidRDefault="00C76878" w:rsidP="00C76878">
      <w:pPr>
        <w:spacing w:after="0" w:line="240" w:lineRule="auto"/>
        <w:jc w:val="center"/>
        <w:rPr>
          <w:rFonts w:ascii="Arial Narrow" w:hAnsi="Arial Narrow" w:cs="Arial"/>
          <w:b/>
          <w:sz w:val="20"/>
          <w:szCs w:val="20"/>
        </w:rPr>
      </w:pPr>
    </w:p>
    <w:p w:rsidR="00C76878" w:rsidRPr="00C76878" w:rsidRDefault="00C76878" w:rsidP="00C76878">
      <w:pPr>
        <w:spacing w:after="0" w:line="240" w:lineRule="auto"/>
        <w:jc w:val="center"/>
        <w:rPr>
          <w:rFonts w:ascii="Arial Narrow" w:hAnsi="Arial Narrow" w:cs="Arial"/>
          <w:b/>
          <w:sz w:val="20"/>
          <w:szCs w:val="20"/>
        </w:rPr>
      </w:pPr>
      <w:r w:rsidRPr="00C76878">
        <w:rPr>
          <w:rFonts w:ascii="Arial Narrow" w:hAnsi="Arial Narrow" w:cs="Arial"/>
          <w:b/>
          <w:sz w:val="20"/>
          <w:szCs w:val="20"/>
        </w:rPr>
        <w:t>MINISTERIO DE HACIENDA</w:t>
      </w:r>
    </w:p>
    <w:p w:rsidR="00C76878" w:rsidRPr="00C76878" w:rsidRDefault="00C76878" w:rsidP="00C76878">
      <w:pPr>
        <w:spacing w:after="0" w:line="240" w:lineRule="auto"/>
        <w:jc w:val="center"/>
        <w:rPr>
          <w:rFonts w:ascii="Arial Narrow" w:hAnsi="Arial Narrow" w:cs="Arial"/>
          <w:b/>
          <w:sz w:val="20"/>
          <w:szCs w:val="20"/>
        </w:rPr>
      </w:pPr>
    </w:p>
    <w:p w:rsidR="00C76878" w:rsidRPr="00C76878" w:rsidRDefault="00C76878" w:rsidP="00C76878">
      <w:pPr>
        <w:spacing w:after="0" w:line="240" w:lineRule="auto"/>
        <w:jc w:val="center"/>
        <w:rPr>
          <w:rFonts w:ascii="Arial Narrow" w:hAnsi="Arial Narrow" w:cs="Arial"/>
          <w:sz w:val="20"/>
          <w:szCs w:val="20"/>
        </w:rPr>
      </w:pPr>
    </w:p>
    <w:p w:rsidR="00C76878" w:rsidRPr="00C76878" w:rsidRDefault="00C76878" w:rsidP="00C76878">
      <w:pPr>
        <w:spacing w:after="0" w:line="240" w:lineRule="auto"/>
        <w:ind w:right="-2"/>
        <w:jc w:val="both"/>
        <w:rPr>
          <w:rFonts w:ascii="Arial Narrow" w:eastAsia="Times New Roman" w:hAnsi="Arial Narrow" w:cs="Arial"/>
          <w:sz w:val="20"/>
          <w:szCs w:val="20"/>
          <w:lang w:eastAsia="es-ES"/>
        </w:rPr>
      </w:pPr>
      <w:r w:rsidRPr="00C76878">
        <w:rPr>
          <w:rFonts w:ascii="Arial Narrow" w:hAnsi="Arial Narrow" w:cs="Arial"/>
          <w:b/>
          <w:sz w:val="20"/>
          <w:szCs w:val="20"/>
        </w:rPr>
        <w:t xml:space="preserve">RESUMEN EJECUTIVO: </w:t>
      </w:r>
      <w:r w:rsidRPr="00C76878">
        <w:rPr>
          <w:rFonts w:ascii="Arial Narrow" w:hAnsi="Arial Narrow" w:cs="Arial"/>
          <w:sz w:val="20"/>
          <w:szCs w:val="20"/>
        </w:rPr>
        <w:t>En relación con los</w:t>
      </w:r>
      <w:r w:rsidRPr="00C76878">
        <w:rPr>
          <w:rFonts w:ascii="Arial Narrow" w:hAnsi="Arial Narrow" w:cs="Arial"/>
          <w:b/>
          <w:sz w:val="20"/>
          <w:szCs w:val="20"/>
        </w:rPr>
        <w:t xml:space="preserve"> </w:t>
      </w:r>
      <w:r w:rsidRPr="00C76878">
        <w:rPr>
          <w:rFonts w:ascii="Arial Narrow" w:eastAsia="Times New Roman" w:hAnsi="Arial Narrow" w:cs="Arial"/>
          <w:color w:val="000000"/>
          <w:sz w:val="20"/>
          <w:szCs w:val="20"/>
          <w:lang w:eastAsia="es-ES"/>
        </w:rPr>
        <w:t xml:space="preserve">servicios que brindan los centros de recreo y similares, los hoteles, moteles, pensiones y casas de estancia transitoria o no, es contribuyente del impuesto sobre las ventas, como impuesto al valor agregado, </w:t>
      </w:r>
      <w:r w:rsidRPr="00C76878">
        <w:rPr>
          <w:rFonts w:ascii="Arial Narrow" w:eastAsia="Times New Roman" w:hAnsi="Arial Narrow" w:cs="Arial"/>
          <w:sz w:val="20"/>
          <w:szCs w:val="20"/>
          <w:lang w:eastAsia="es-ES"/>
        </w:rPr>
        <w:t xml:space="preserve">toda persona física o jurídica que </w:t>
      </w:r>
      <w:r w:rsidRPr="00C76878">
        <w:rPr>
          <w:rFonts w:ascii="Arial Narrow" w:hAnsi="Arial Narrow" w:cs="Arial"/>
          <w:bCs/>
          <w:color w:val="000000"/>
          <w:sz w:val="20"/>
          <w:szCs w:val="20"/>
        </w:rPr>
        <w:t>se dedique de forma habitual, a organizar los recursos necesarios para que las casas, condominios o unidades construidas originalmente para ser utilizadas como unidades habitacionales, puedan ser alquiladas como espacios de estancia transitoria</w:t>
      </w:r>
      <w:r w:rsidRPr="00C76878">
        <w:rPr>
          <w:rFonts w:ascii="Arial Narrow" w:eastAsia="Times New Roman" w:hAnsi="Arial Narrow" w:cs="Arial"/>
          <w:sz w:val="20"/>
          <w:szCs w:val="20"/>
          <w:lang w:eastAsia="es-ES"/>
        </w:rPr>
        <w:t xml:space="preserve">. A efecto de lograr el adecuado cumplimiento de las obligaciones tributarias materiales, el sujeto pasivo está facultado, para repercutir el impuesto al sujeto que disfrute y goce las instalaciones.  </w:t>
      </w:r>
    </w:p>
    <w:p w:rsidR="00C76878" w:rsidRPr="00C76878" w:rsidRDefault="00C76878" w:rsidP="00C76878">
      <w:pPr>
        <w:spacing w:after="0" w:line="240" w:lineRule="auto"/>
        <w:jc w:val="center"/>
        <w:rPr>
          <w:rFonts w:ascii="Arial Narrow" w:hAnsi="Arial Narrow" w:cs="Arial"/>
          <w:sz w:val="20"/>
          <w:szCs w:val="20"/>
        </w:rPr>
      </w:pPr>
    </w:p>
    <w:p w:rsidR="00C76878" w:rsidRPr="00C76878" w:rsidRDefault="00C76878" w:rsidP="00C76878">
      <w:pPr>
        <w:spacing w:after="0" w:line="240" w:lineRule="auto"/>
        <w:jc w:val="center"/>
        <w:rPr>
          <w:rFonts w:ascii="Arial Narrow" w:hAnsi="Arial Narrow" w:cs="Arial"/>
          <w:sz w:val="20"/>
          <w:szCs w:val="20"/>
        </w:rPr>
      </w:pPr>
    </w:p>
    <w:p w:rsidR="00C76878" w:rsidRPr="00C76878" w:rsidRDefault="00C76878" w:rsidP="00C76878">
      <w:pPr>
        <w:spacing w:after="0" w:line="240" w:lineRule="auto"/>
        <w:jc w:val="both"/>
        <w:rPr>
          <w:rFonts w:ascii="Arial Narrow" w:hAnsi="Arial Narrow" w:cs="Arial"/>
          <w:b/>
          <w:sz w:val="20"/>
          <w:szCs w:val="20"/>
        </w:rPr>
      </w:pPr>
      <w:r w:rsidRPr="00C76878">
        <w:rPr>
          <w:rFonts w:ascii="Arial Narrow" w:hAnsi="Arial Narrow" w:cs="Arial"/>
          <w:b/>
          <w:sz w:val="20"/>
          <w:szCs w:val="20"/>
        </w:rPr>
        <w:t>NORMAS DE REFERENCIA:</w:t>
      </w:r>
      <w:r w:rsidRPr="00C76878">
        <w:rPr>
          <w:rFonts w:ascii="Arial Narrow" w:hAnsi="Arial Narrow" w:cs="Arial"/>
          <w:sz w:val="20"/>
          <w:szCs w:val="20"/>
          <w:lang w:val="es-CO"/>
        </w:rPr>
        <w:t xml:space="preserve"> Artículo 17 del Código de Normas y Procedimientos Tributarios.</w:t>
      </w:r>
      <w:r w:rsidRPr="00C76878">
        <w:rPr>
          <w:rFonts w:ascii="Arial Narrow" w:hAnsi="Arial Narrow" w:cs="Arial"/>
          <w:bCs/>
          <w:color w:val="000000"/>
          <w:sz w:val="20"/>
          <w:szCs w:val="20"/>
          <w:lang w:val="es-CO"/>
        </w:rPr>
        <w:t xml:space="preserve"> </w:t>
      </w:r>
      <w:r w:rsidRPr="00C76878">
        <w:rPr>
          <w:rFonts w:ascii="Arial Narrow" w:hAnsi="Arial Narrow" w:cs="Arial"/>
          <w:bCs/>
          <w:color w:val="000000"/>
          <w:sz w:val="20"/>
          <w:szCs w:val="20"/>
        </w:rPr>
        <w:t>Artículos 1 incisos c) y ch); 4 de la Ley del Impuesto General sobre las Ventas</w:t>
      </w:r>
    </w:p>
    <w:p w:rsidR="00C76878" w:rsidRPr="00C76878" w:rsidRDefault="00C76878" w:rsidP="00C76878">
      <w:pPr>
        <w:spacing w:after="0" w:line="240" w:lineRule="auto"/>
        <w:jc w:val="center"/>
        <w:rPr>
          <w:rFonts w:ascii="Arial Narrow" w:hAnsi="Arial Narrow" w:cs="Arial"/>
          <w:b/>
          <w:sz w:val="20"/>
          <w:szCs w:val="20"/>
        </w:rPr>
      </w:pPr>
    </w:p>
    <w:p w:rsidR="00C76878" w:rsidRPr="00C76878" w:rsidRDefault="00C76878" w:rsidP="00C76878">
      <w:pPr>
        <w:spacing w:after="0" w:line="240" w:lineRule="auto"/>
        <w:jc w:val="center"/>
        <w:rPr>
          <w:rFonts w:ascii="Arial Narrow" w:hAnsi="Arial Narrow" w:cs="Arial"/>
          <w:b/>
          <w:sz w:val="20"/>
          <w:szCs w:val="20"/>
        </w:rPr>
      </w:pPr>
    </w:p>
    <w:p w:rsidR="00C76878" w:rsidRPr="00C76878" w:rsidRDefault="00C76878" w:rsidP="00C76878">
      <w:pPr>
        <w:spacing w:after="0" w:line="240" w:lineRule="auto"/>
        <w:jc w:val="center"/>
        <w:rPr>
          <w:rFonts w:ascii="Arial Narrow" w:eastAsia="Times New Roman" w:hAnsi="Arial Narrow" w:cs="Arial"/>
          <w:b/>
          <w:sz w:val="20"/>
          <w:szCs w:val="20"/>
          <w:lang w:eastAsia="es-ES"/>
        </w:rPr>
      </w:pPr>
      <w:r w:rsidRPr="00C76878">
        <w:rPr>
          <w:rFonts w:ascii="Arial Narrow" w:eastAsia="Times New Roman" w:hAnsi="Arial Narrow" w:cs="Arial"/>
          <w:b/>
          <w:sz w:val="20"/>
          <w:szCs w:val="20"/>
          <w:lang w:eastAsia="es-ES"/>
        </w:rPr>
        <w:t>CRITERIO INSTITUCIONAL NO. DGT-CI-003-2012</w:t>
      </w:r>
    </w:p>
    <w:p w:rsidR="00C76878" w:rsidRPr="00C76878" w:rsidRDefault="00C76878" w:rsidP="00C76878">
      <w:pPr>
        <w:spacing w:after="0" w:line="240" w:lineRule="auto"/>
        <w:jc w:val="center"/>
        <w:rPr>
          <w:rFonts w:ascii="Arial Narrow" w:eastAsia="Times New Roman" w:hAnsi="Arial Narrow" w:cs="Arial"/>
          <w:b/>
          <w:sz w:val="20"/>
          <w:szCs w:val="20"/>
          <w:lang w:eastAsia="es-ES"/>
        </w:rPr>
      </w:pPr>
      <w:r w:rsidRPr="00C76878">
        <w:rPr>
          <w:rFonts w:ascii="Arial Narrow" w:eastAsia="Times New Roman" w:hAnsi="Arial Narrow" w:cs="Arial"/>
          <w:b/>
          <w:sz w:val="20"/>
          <w:szCs w:val="20"/>
          <w:lang w:eastAsia="es-ES"/>
        </w:rPr>
        <w:t>DEL 08 DE FEBRERO DE 2012</w:t>
      </w:r>
    </w:p>
    <w:p w:rsidR="00C76878" w:rsidRPr="00C76878" w:rsidRDefault="00C76878" w:rsidP="00C76878">
      <w:pPr>
        <w:spacing w:after="0" w:line="240" w:lineRule="auto"/>
        <w:jc w:val="center"/>
        <w:rPr>
          <w:rFonts w:ascii="Arial Narrow" w:hAnsi="Arial Narrow" w:cs="Arial"/>
          <w:sz w:val="20"/>
          <w:szCs w:val="20"/>
        </w:rPr>
      </w:pPr>
    </w:p>
    <w:p w:rsidR="00C76878" w:rsidRPr="00C76878" w:rsidRDefault="00C76878" w:rsidP="00C76878">
      <w:pPr>
        <w:spacing w:after="0" w:line="240" w:lineRule="auto"/>
        <w:jc w:val="center"/>
        <w:rPr>
          <w:rFonts w:ascii="Arial Narrow" w:hAnsi="Arial Narrow" w:cs="Arial"/>
          <w:sz w:val="20"/>
          <w:szCs w:val="20"/>
        </w:rPr>
      </w:pPr>
    </w:p>
    <w:p w:rsidR="00C76878" w:rsidRPr="00C76878" w:rsidRDefault="00C76878" w:rsidP="00C76878">
      <w:pPr>
        <w:spacing w:after="0" w:line="240" w:lineRule="auto"/>
        <w:jc w:val="both"/>
        <w:rPr>
          <w:rFonts w:ascii="Arial Narrow" w:eastAsia="Times New Roman" w:hAnsi="Arial Narrow" w:cs="Arial"/>
          <w:sz w:val="20"/>
          <w:szCs w:val="20"/>
          <w:lang w:eastAsia="es-ES"/>
        </w:rPr>
      </w:pPr>
      <w:r w:rsidRPr="00C76878">
        <w:rPr>
          <w:rFonts w:ascii="Arial Narrow" w:eastAsia="Times New Roman" w:hAnsi="Arial Narrow" w:cs="Arial"/>
          <w:b/>
          <w:sz w:val="20"/>
          <w:szCs w:val="20"/>
          <w:lang w:eastAsia="es-ES"/>
        </w:rPr>
        <w:t>1º</w:t>
      </w:r>
      <w:r w:rsidRPr="00C76878">
        <w:rPr>
          <w:rFonts w:ascii="Arial Narrow" w:eastAsia="Times New Roman" w:hAnsi="Arial Narrow" w:cs="Arial"/>
          <w:sz w:val="20"/>
          <w:szCs w:val="20"/>
          <w:lang w:eastAsia="es-ES"/>
        </w:rPr>
        <w:tab/>
        <w:t>Que los artículos 99 y 103 inciso e) de la Ley N° 4755 de 3 de mayo de 1971, Código de Normas y Procedimientos Tributarios, facultan a la Administración Tributaria para verificar el correcto cumplimiento de las obligaciones tributarias, por todos los medios y procedimientos legales, permitiendo la interpretación administrativa de las disposiciones contenidas en dicho cuerpo legal.</w:t>
      </w:r>
    </w:p>
    <w:p w:rsidR="00C76878" w:rsidRPr="00C76878" w:rsidRDefault="00C76878" w:rsidP="00C76878">
      <w:pPr>
        <w:spacing w:after="0" w:line="240" w:lineRule="auto"/>
        <w:jc w:val="both"/>
        <w:rPr>
          <w:rFonts w:ascii="Arial Narrow" w:eastAsia="Times New Roman" w:hAnsi="Arial Narrow" w:cs="Arial"/>
          <w:sz w:val="20"/>
          <w:szCs w:val="20"/>
          <w:lang w:eastAsia="es-ES"/>
        </w:rPr>
      </w:pPr>
    </w:p>
    <w:p w:rsidR="00C76878" w:rsidRPr="00C76878" w:rsidRDefault="00C76878" w:rsidP="00C76878">
      <w:pPr>
        <w:spacing w:after="0" w:line="240" w:lineRule="auto"/>
        <w:jc w:val="both"/>
        <w:rPr>
          <w:rFonts w:ascii="Arial Narrow" w:eastAsia="Times New Roman" w:hAnsi="Arial Narrow" w:cs="Arial"/>
          <w:sz w:val="20"/>
          <w:szCs w:val="20"/>
          <w:lang w:eastAsia="es-ES"/>
        </w:rPr>
      </w:pPr>
      <w:r w:rsidRPr="00C76878">
        <w:rPr>
          <w:rFonts w:ascii="Arial Narrow" w:eastAsia="Times New Roman" w:hAnsi="Arial Narrow" w:cs="Arial"/>
          <w:b/>
          <w:sz w:val="20"/>
          <w:szCs w:val="20"/>
          <w:lang w:eastAsia="es-ES"/>
        </w:rPr>
        <w:t>2°</w:t>
      </w:r>
      <w:r w:rsidRPr="00C76878">
        <w:rPr>
          <w:rFonts w:ascii="Arial Narrow" w:eastAsia="Times New Roman" w:hAnsi="Arial Narrow" w:cs="Arial"/>
          <w:sz w:val="20"/>
          <w:szCs w:val="20"/>
          <w:lang w:eastAsia="es-ES"/>
        </w:rPr>
        <w:tab/>
        <w:t>Que el artículo 1 de la Resolución N° DGT- R-003-2011 de 4 de febrero de 2011, publicada en La Gaceta N° 43 de 2 de marzo de 2011, establece que la Dirección General de Tributación debe publicar los criterios institucionales de mayor relevancia en materia tributaria.</w:t>
      </w:r>
    </w:p>
    <w:p w:rsidR="00C76878" w:rsidRPr="00C76878" w:rsidRDefault="00C76878" w:rsidP="00C76878">
      <w:pPr>
        <w:spacing w:after="0" w:line="240" w:lineRule="auto"/>
        <w:jc w:val="center"/>
        <w:rPr>
          <w:rFonts w:ascii="Arial Narrow" w:eastAsia="Times New Roman" w:hAnsi="Arial Narrow" w:cs="Arial"/>
          <w:b/>
          <w:sz w:val="20"/>
          <w:szCs w:val="20"/>
          <w:lang w:eastAsia="es-ES"/>
        </w:rPr>
      </w:pPr>
    </w:p>
    <w:p w:rsidR="00C76878" w:rsidRPr="00C76878" w:rsidRDefault="00C76878" w:rsidP="00C76878">
      <w:pPr>
        <w:spacing w:after="0" w:line="240" w:lineRule="auto"/>
        <w:jc w:val="center"/>
        <w:rPr>
          <w:rFonts w:ascii="Arial Narrow" w:eastAsia="Times New Roman" w:hAnsi="Arial Narrow" w:cs="Arial"/>
          <w:b/>
          <w:sz w:val="20"/>
          <w:szCs w:val="20"/>
          <w:lang w:eastAsia="es-ES"/>
        </w:rPr>
      </w:pPr>
    </w:p>
    <w:p w:rsidR="00C76878" w:rsidRPr="00C76878" w:rsidRDefault="00C76878" w:rsidP="00C76878">
      <w:pPr>
        <w:spacing w:after="0" w:line="240" w:lineRule="auto"/>
        <w:jc w:val="center"/>
        <w:rPr>
          <w:rFonts w:ascii="Arial Narrow" w:eastAsia="Times New Roman" w:hAnsi="Arial Narrow" w:cs="Arial"/>
          <w:b/>
          <w:sz w:val="20"/>
          <w:szCs w:val="20"/>
          <w:lang w:eastAsia="es-ES"/>
        </w:rPr>
      </w:pPr>
      <w:r w:rsidRPr="00C76878">
        <w:rPr>
          <w:rFonts w:ascii="Arial Narrow" w:eastAsia="Times New Roman" w:hAnsi="Arial Narrow" w:cs="Arial"/>
          <w:b/>
          <w:sz w:val="20"/>
          <w:szCs w:val="20"/>
          <w:lang w:eastAsia="es-ES"/>
        </w:rPr>
        <w:t>ANTECEDENTES</w:t>
      </w:r>
    </w:p>
    <w:p w:rsidR="00C76878" w:rsidRPr="00C76878" w:rsidRDefault="00C76878" w:rsidP="00C76878">
      <w:pPr>
        <w:spacing w:after="0" w:line="240" w:lineRule="auto"/>
        <w:ind w:right="-568"/>
        <w:jc w:val="center"/>
        <w:rPr>
          <w:rFonts w:ascii="Arial Narrow" w:hAnsi="Arial Narrow" w:cs="Arial"/>
          <w:b/>
          <w:color w:val="333333"/>
          <w:sz w:val="20"/>
          <w:szCs w:val="20"/>
          <w:lang w:eastAsia="es-ES"/>
        </w:rPr>
      </w:pPr>
    </w:p>
    <w:p w:rsidR="00C76878" w:rsidRPr="00C76878" w:rsidRDefault="00C76878" w:rsidP="00C76878">
      <w:pPr>
        <w:spacing w:after="0" w:line="240" w:lineRule="auto"/>
        <w:ind w:right="-2"/>
        <w:jc w:val="center"/>
        <w:rPr>
          <w:rFonts w:ascii="Arial Narrow" w:hAnsi="Arial Narrow" w:cs="Arial"/>
          <w:b/>
          <w:color w:val="333333"/>
          <w:sz w:val="20"/>
          <w:szCs w:val="20"/>
          <w:lang w:eastAsia="es-ES"/>
        </w:rPr>
      </w:pPr>
    </w:p>
    <w:p w:rsidR="00C76878" w:rsidRPr="00C76878" w:rsidRDefault="00C76878" w:rsidP="00C76878">
      <w:pPr>
        <w:spacing w:after="0" w:line="240" w:lineRule="auto"/>
        <w:ind w:right="-2"/>
        <w:jc w:val="both"/>
        <w:rPr>
          <w:rFonts w:ascii="Arial Narrow" w:hAnsi="Arial Narrow" w:cs="Arial"/>
          <w:color w:val="333333"/>
          <w:sz w:val="20"/>
          <w:szCs w:val="20"/>
          <w:lang w:val="es-ES_tradnl" w:eastAsia="es-ES"/>
        </w:rPr>
      </w:pPr>
      <w:r w:rsidRPr="00C76878">
        <w:rPr>
          <w:rFonts w:ascii="Arial Narrow" w:hAnsi="Arial Narrow" w:cs="Arial"/>
          <w:b/>
          <w:color w:val="333333"/>
          <w:sz w:val="20"/>
          <w:szCs w:val="20"/>
          <w:lang w:eastAsia="es-ES"/>
        </w:rPr>
        <w:t>I.-</w:t>
      </w:r>
      <w:r w:rsidRPr="00C76878">
        <w:rPr>
          <w:rFonts w:ascii="Arial Narrow" w:eastAsia="Times New Roman" w:hAnsi="Arial Narrow" w:cs="Arial"/>
          <w:color w:val="000000"/>
          <w:sz w:val="20"/>
          <w:szCs w:val="20"/>
          <w:lang w:eastAsia="es-ES"/>
        </w:rPr>
        <w:t xml:space="preserve"> </w:t>
      </w:r>
      <w:r w:rsidRPr="00C76878">
        <w:rPr>
          <w:rFonts w:ascii="Arial Narrow" w:hAnsi="Arial Narrow" w:cs="Arial"/>
          <w:bCs/>
          <w:color w:val="000000"/>
          <w:sz w:val="20"/>
          <w:szCs w:val="20"/>
        </w:rPr>
        <w:t xml:space="preserve">Que el artículo 1 incisos c) y ch) de la Ley del Impuesto General sobre las Ventas, en adelante LIGSV, establece </w:t>
      </w:r>
      <w:r w:rsidRPr="00C76878">
        <w:rPr>
          <w:rFonts w:ascii="Arial Narrow" w:eastAsia="Times New Roman" w:hAnsi="Arial Narrow" w:cs="Arial"/>
          <w:color w:val="000000"/>
          <w:sz w:val="20"/>
          <w:szCs w:val="20"/>
          <w:lang w:eastAsia="es-ES"/>
        </w:rPr>
        <w:t>que los servicios que brindan los centros de recreo y similares, los hoteles, moteles, pensiones y casas de estancia transitoria o no, están gravados con este impuesto.</w:t>
      </w:r>
      <w:r w:rsidRPr="00C76878">
        <w:rPr>
          <w:rFonts w:ascii="Arial Narrow" w:hAnsi="Arial Narrow" w:cs="Arial"/>
          <w:bCs/>
          <w:color w:val="000000"/>
          <w:sz w:val="20"/>
          <w:szCs w:val="20"/>
        </w:rPr>
        <w:t xml:space="preserve"> </w:t>
      </w:r>
    </w:p>
    <w:p w:rsidR="00C76878" w:rsidRPr="00C76878" w:rsidRDefault="00C76878" w:rsidP="00C76878">
      <w:pPr>
        <w:spacing w:after="0" w:line="240" w:lineRule="auto"/>
        <w:ind w:right="-2"/>
        <w:jc w:val="both"/>
        <w:rPr>
          <w:rFonts w:ascii="Arial Narrow" w:hAnsi="Arial Narrow" w:cs="Arial"/>
          <w:bCs/>
          <w:color w:val="000000"/>
          <w:sz w:val="20"/>
          <w:szCs w:val="20"/>
        </w:rPr>
      </w:pPr>
    </w:p>
    <w:p w:rsidR="00C76878" w:rsidRPr="00C76878" w:rsidRDefault="00C76878" w:rsidP="00C76878">
      <w:pPr>
        <w:spacing w:after="0" w:line="240" w:lineRule="auto"/>
        <w:ind w:right="-2"/>
        <w:jc w:val="both"/>
        <w:rPr>
          <w:rFonts w:ascii="Arial Narrow" w:hAnsi="Arial Narrow" w:cs="Arial"/>
          <w:bCs/>
          <w:color w:val="000000"/>
          <w:sz w:val="20"/>
          <w:szCs w:val="20"/>
        </w:rPr>
      </w:pPr>
      <w:r w:rsidRPr="00C76878">
        <w:rPr>
          <w:rFonts w:ascii="Arial Narrow" w:hAnsi="Arial Narrow" w:cs="Arial"/>
          <w:b/>
          <w:bCs/>
          <w:color w:val="000000"/>
          <w:sz w:val="20"/>
          <w:szCs w:val="20"/>
        </w:rPr>
        <w:t>II</w:t>
      </w:r>
      <w:r w:rsidRPr="00C76878">
        <w:rPr>
          <w:rFonts w:ascii="Arial Narrow" w:hAnsi="Arial Narrow" w:cs="Arial"/>
          <w:bCs/>
          <w:color w:val="000000"/>
          <w:sz w:val="20"/>
          <w:szCs w:val="20"/>
        </w:rPr>
        <w:t>.- Que el desarrollo inmobiliario experimentado en Costa Rica en los últimos años, especialmente en las zonas costeras y de mayor atractivo turístico, ha permitido a su vez, el desarrollo de nuevas actividades económicas otrora no usuales o conocidas en el medio empresarial costarricense, como por ejemplo, la industria del “</w:t>
      </w:r>
      <w:proofErr w:type="spellStart"/>
      <w:r w:rsidRPr="00C76878">
        <w:rPr>
          <w:rFonts w:ascii="Arial Narrow" w:hAnsi="Arial Narrow" w:cs="Arial"/>
          <w:bCs/>
          <w:color w:val="000000"/>
          <w:sz w:val="20"/>
          <w:szCs w:val="20"/>
        </w:rPr>
        <w:t>property</w:t>
      </w:r>
      <w:proofErr w:type="spellEnd"/>
      <w:r w:rsidRPr="00C76878">
        <w:rPr>
          <w:rFonts w:ascii="Arial Narrow" w:hAnsi="Arial Narrow" w:cs="Arial"/>
          <w:bCs/>
          <w:color w:val="000000"/>
          <w:sz w:val="20"/>
          <w:szCs w:val="20"/>
        </w:rPr>
        <w:t xml:space="preserve"> </w:t>
      </w:r>
      <w:proofErr w:type="spellStart"/>
      <w:r w:rsidRPr="00C76878">
        <w:rPr>
          <w:rFonts w:ascii="Arial Narrow" w:hAnsi="Arial Narrow" w:cs="Arial"/>
          <w:bCs/>
          <w:color w:val="000000"/>
          <w:sz w:val="20"/>
          <w:szCs w:val="20"/>
        </w:rPr>
        <w:t>managment</w:t>
      </w:r>
      <w:proofErr w:type="spellEnd"/>
      <w:r w:rsidRPr="00C76878">
        <w:rPr>
          <w:rFonts w:ascii="Arial Narrow" w:hAnsi="Arial Narrow" w:cs="Arial"/>
          <w:bCs/>
          <w:color w:val="000000"/>
          <w:sz w:val="20"/>
          <w:szCs w:val="20"/>
        </w:rPr>
        <w:t xml:space="preserve">” o administración de propiedades de terceros, tanto para la manutención de los bienes tutelados bajo un contrato de administración de inmuebles como para el alquiler de tales bienes a terceros para el uso y disfrute temporal de tales bienes. El desarrollo inmobiliario ha permitido que muchas personas tanto nacionales como extranjeras, cuenten con “casas de playa” que utilizan, no para habitar permanentemente, sino para vacacionar u ocupar con fines vacacionales de manera regular o esporádica, lo que implica que tales espacios se encuentran desocupados la mayor parte del año. Tal desocupación ha dado lugar a una modalidad de actividad empresarial mediante la cual se aprovecha el tiempo “ocioso” de tales inmuebles, para alquilarlos a terceros en una forma bastante similar a quien alquila una habitación de hotel, motel, cabina u hostal. </w:t>
      </w:r>
    </w:p>
    <w:p w:rsidR="00C76878" w:rsidRPr="00C76878" w:rsidRDefault="00C76878" w:rsidP="00C76878">
      <w:pPr>
        <w:spacing w:after="0" w:line="240" w:lineRule="auto"/>
        <w:ind w:right="-568"/>
        <w:jc w:val="both"/>
        <w:rPr>
          <w:rFonts w:ascii="Arial Narrow" w:hAnsi="Arial Narrow" w:cs="Arial"/>
          <w:bCs/>
          <w:color w:val="000000"/>
          <w:sz w:val="20"/>
          <w:szCs w:val="20"/>
        </w:rPr>
      </w:pPr>
    </w:p>
    <w:p w:rsidR="00C76878" w:rsidRPr="00C76878" w:rsidRDefault="00C76878" w:rsidP="00C76878">
      <w:pPr>
        <w:spacing w:after="0" w:line="240" w:lineRule="auto"/>
        <w:ind w:right="-568"/>
        <w:jc w:val="both"/>
        <w:rPr>
          <w:rFonts w:ascii="Arial Narrow" w:hAnsi="Arial Narrow" w:cs="Arial"/>
          <w:bCs/>
          <w:color w:val="000000"/>
          <w:sz w:val="20"/>
          <w:szCs w:val="20"/>
        </w:rPr>
      </w:pPr>
    </w:p>
    <w:p w:rsidR="00C76878" w:rsidRPr="00C76878" w:rsidRDefault="00C76878" w:rsidP="00C76878">
      <w:pPr>
        <w:spacing w:after="0" w:line="240" w:lineRule="auto"/>
        <w:ind w:right="-2"/>
        <w:jc w:val="both"/>
        <w:rPr>
          <w:rFonts w:ascii="Arial Narrow" w:hAnsi="Arial Narrow" w:cs="Arial"/>
          <w:bCs/>
          <w:color w:val="000000"/>
          <w:sz w:val="20"/>
          <w:szCs w:val="20"/>
        </w:rPr>
      </w:pPr>
      <w:r w:rsidRPr="00C76878">
        <w:rPr>
          <w:rFonts w:ascii="Arial Narrow" w:hAnsi="Arial Narrow" w:cs="Arial"/>
          <w:b/>
          <w:bCs/>
          <w:color w:val="000000"/>
          <w:sz w:val="20"/>
          <w:szCs w:val="20"/>
        </w:rPr>
        <w:t>III</w:t>
      </w:r>
      <w:r w:rsidRPr="00C76878">
        <w:rPr>
          <w:rFonts w:ascii="Arial Narrow" w:hAnsi="Arial Narrow" w:cs="Arial"/>
          <w:bCs/>
          <w:color w:val="000000"/>
          <w:sz w:val="20"/>
          <w:szCs w:val="20"/>
        </w:rPr>
        <w:t xml:space="preserve">. Que la Administración Tributaria ha constatado que los propietarios de inmuebles que tienen vocación para ser utilizados como espacios de estancia transitoria por terceros, ceden o permiten su uso y explotación mediante diversos vehículos jurídicos: contratos de mandato, contratos de arrendamiento limitado, mediante simples autorizaciones o cláusulas que así lo permiten dentro de los contratos de administración; con el fin de habilitar el desarrollo de actividades de hospedaje similares a los hoteles, hostales y moteles, donde profesionales de la administración, o empresas dedicadas a la administración de condominios o en general bienes inmuebles, se dedican de forma habitual a organizar los recursos necesarios para que las casas, condominios o unidades construidas originalmente para ser utilizadas como unidades habitacionales, puedan ser alquiladas como espacios de estancia transitoria, de manera similar a como se ocupa la habitación de un hotel o motel. </w:t>
      </w:r>
    </w:p>
    <w:p w:rsidR="00C76878" w:rsidRPr="00C76878" w:rsidRDefault="00C76878" w:rsidP="00C76878">
      <w:pPr>
        <w:spacing w:after="0" w:line="240" w:lineRule="auto"/>
        <w:ind w:right="-2"/>
        <w:jc w:val="both"/>
        <w:rPr>
          <w:rFonts w:ascii="Arial Narrow" w:hAnsi="Arial Narrow" w:cs="Arial"/>
          <w:bCs/>
          <w:color w:val="000000"/>
          <w:sz w:val="20"/>
          <w:szCs w:val="20"/>
        </w:rPr>
      </w:pPr>
    </w:p>
    <w:p w:rsidR="00C76878" w:rsidRPr="00C76878" w:rsidRDefault="00C76878" w:rsidP="00C76878">
      <w:pPr>
        <w:spacing w:after="0" w:line="240" w:lineRule="auto"/>
        <w:ind w:right="-2"/>
        <w:jc w:val="both"/>
        <w:rPr>
          <w:rFonts w:ascii="Arial Narrow" w:hAnsi="Arial Narrow" w:cs="Arial"/>
          <w:bCs/>
          <w:color w:val="000000"/>
          <w:sz w:val="20"/>
          <w:szCs w:val="20"/>
        </w:rPr>
      </w:pPr>
    </w:p>
    <w:p w:rsidR="00C76878" w:rsidRPr="00C76878" w:rsidRDefault="00C76878" w:rsidP="00C76878">
      <w:pPr>
        <w:spacing w:after="0" w:line="240" w:lineRule="auto"/>
        <w:ind w:right="-2"/>
        <w:jc w:val="both"/>
        <w:rPr>
          <w:rFonts w:ascii="Arial Narrow" w:eastAsia="Arial Unicode MS" w:hAnsi="Arial Narrow" w:cs="Arial"/>
          <w:sz w:val="20"/>
          <w:szCs w:val="20"/>
        </w:rPr>
      </w:pPr>
      <w:r w:rsidRPr="00C76878">
        <w:rPr>
          <w:rFonts w:ascii="Arial Narrow" w:hAnsi="Arial Narrow" w:cs="Arial"/>
          <w:b/>
          <w:bCs/>
          <w:color w:val="000000"/>
          <w:sz w:val="20"/>
          <w:szCs w:val="20"/>
        </w:rPr>
        <w:t>IV</w:t>
      </w:r>
      <w:r w:rsidRPr="00C76878">
        <w:rPr>
          <w:rFonts w:ascii="Arial Narrow" w:hAnsi="Arial Narrow" w:cs="Arial"/>
          <w:bCs/>
          <w:color w:val="000000"/>
          <w:sz w:val="20"/>
          <w:szCs w:val="20"/>
        </w:rPr>
        <w:t xml:space="preserve">. Que es la interpretación de esta Dirección que el </w:t>
      </w:r>
      <w:r w:rsidRPr="00C76878">
        <w:rPr>
          <w:rFonts w:ascii="Arial Narrow" w:eastAsia="Arial Unicode MS" w:hAnsi="Arial Narrow" w:cs="Arial"/>
          <w:sz w:val="20"/>
          <w:szCs w:val="20"/>
        </w:rPr>
        <w:t>legislador tributario pretendió gravar en el inciso ch) los servicios de todo establecimiento de hospedaje en general, conforme al sentido usual del término hospedaje y no limitado a un sentido técnico</w:t>
      </w:r>
      <w:r w:rsidRPr="00C76878">
        <w:rPr>
          <w:rFonts w:ascii="Arial Narrow" w:eastAsia="Arial Unicode MS" w:hAnsi="Arial Narrow" w:cs="Arial"/>
          <w:sz w:val="20"/>
          <w:szCs w:val="20"/>
          <w:vertAlign w:val="superscript"/>
        </w:rPr>
        <w:footnoteReference w:id="1"/>
      </w:r>
      <w:r w:rsidRPr="00C76878">
        <w:rPr>
          <w:rFonts w:ascii="Arial Narrow" w:eastAsia="Arial Unicode MS" w:hAnsi="Arial Narrow" w:cs="Arial"/>
          <w:sz w:val="20"/>
          <w:szCs w:val="20"/>
          <w:vertAlign w:val="superscript"/>
        </w:rPr>
        <w:t>[1]</w:t>
      </w:r>
      <w:r w:rsidRPr="00C76878">
        <w:rPr>
          <w:rFonts w:ascii="Arial Narrow" w:eastAsia="Arial Unicode MS" w:hAnsi="Arial Narrow" w:cs="Arial"/>
          <w:sz w:val="20"/>
          <w:szCs w:val="20"/>
        </w:rPr>
        <w:t xml:space="preserve">. Y es que conforme a los </w:t>
      </w:r>
      <w:r w:rsidRPr="00C76878">
        <w:rPr>
          <w:rFonts w:ascii="Arial Narrow" w:eastAsia="Arial Unicode MS" w:hAnsi="Arial Narrow" w:cs="Arial"/>
          <w:sz w:val="20"/>
          <w:szCs w:val="20"/>
        </w:rPr>
        <w:lastRenderedPageBreak/>
        <w:t xml:space="preserve">principios generales del derecho y a las más básicas normas de equidad y justicia, </w:t>
      </w:r>
      <w:proofErr w:type="spellStart"/>
      <w:r w:rsidRPr="00C76878">
        <w:rPr>
          <w:rFonts w:ascii="Arial Narrow" w:eastAsia="Arial Unicode MS" w:hAnsi="Arial Narrow" w:cs="Arial"/>
          <w:sz w:val="20"/>
          <w:szCs w:val="20"/>
        </w:rPr>
        <w:t>positivisadas</w:t>
      </w:r>
      <w:proofErr w:type="spellEnd"/>
      <w:r w:rsidRPr="00C76878">
        <w:rPr>
          <w:rFonts w:ascii="Arial Narrow" w:eastAsia="Arial Unicode MS" w:hAnsi="Arial Narrow" w:cs="Arial"/>
          <w:sz w:val="20"/>
          <w:szCs w:val="20"/>
        </w:rPr>
        <w:t xml:space="preserve"> en la Constitución Política donde, en opinión de esta Dirección, se estaría violentando el principio de igualdad ante la  obligación  de coadyuvar al mantenimiento de la cosa pública y de contribuir solidariamente conforme a  una capacidad económica real, si no se incluyera a este tipo de inmuebles utilizados como espacios </w:t>
      </w:r>
      <w:r w:rsidRPr="00C76878">
        <w:rPr>
          <w:rFonts w:ascii="Arial Narrow" w:hAnsi="Arial Narrow" w:cs="Arial"/>
          <w:bCs/>
          <w:color w:val="000000"/>
          <w:sz w:val="20"/>
          <w:szCs w:val="20"/>
        </w:rPr>
        <w:t>de estancia transitoria, de manera similar a como se ocupa la habitación de un hotel o motel</w:t>
      </w:r>
      <w:r w:rsidRPr="00C76878">
        <w:rPr>
          <w:rFonts w:ascii="Arial Narrow" w:eastAsia="Arial Unicode MS" w:hAnsi="Arial Narrow" w:cs="Arial"/>
          <w:sz w:val="20"/>
          <w:szCs w:val="20"/>
        </w:rPr>
        <w:t xml:space="preserve">, dentro del concepto usual de hospedaje. </w:t>
      </w:r>
    </w:p>
    <w:p w:rsidR="00C76878" w:rsidRPr="00C76878" w:rsidRDefault="00C76878" w:rsidP="00C76878">
      <w:pPr>
        <w:spacing w:after="0" w:line="240" w:lineRule="auto"/>
        <w:ind w:right="-2"/>
        <w:jc w:val="both"/>
        <w:rPr>
          <w:rFonts w:ascii="Arial Narrow" w:eastAsia="Arial Unicode MS" w:hAnsi="Arial Narrow" w:cs="Arial"/>
          <w:sz w:val="20"/>
          <w:szCs w:val="20"/>
          <w:highlight w:val="yellow"/>
        </w:rPr>
      </w:pPr>
    </w:p>
    <w:p w:rsidR="00C76878" w:rsidRPr="00C76878" w:rsidRDefault="00C76878" w:rsidP="00C76878">
      <w:pPr>
        <w:spacing w:after="0" w:line="240" w:lineRule="auto"/>
        <w:ind w:right="-2"/>
        <w:jc w:val="both"/>
        <w:rPr>
          <w:rFonts w:ascii="Arial Narrow" w:eastAsia="Arial Unicode MS" w:hAnsi="Arial Narrow" w:cs="Arial"/>
          <w:sz w:val="20"/>
          <w:szCs w:val="20"/>
          <w:highlight w:val="yellow"/>
        </w:rPr>
      </w:pPr>
    </w:p>
    <w:p w:rsidR="00C76878" w:rsidRPr="00C76878" w:rsidRDefault="00C76878" w:rsidP="00C76878">
      <w:pPr>
        <w:spacing w:after="0" w:line="240" w:lineRule="auto"/>
        <w:ind w:right="-2"/>
        <w:jc w:val="both"/>
        <w:rPr>
          <w:rFonts w:ascii="Arial Narrow" w:hAnsi="Arial Narrow" w:cs="Arial"/>
          <w:sz w:val="20"/>
          <w:szCs w:val="20"/>
        </w:rPr>
      </w:pPr>
      <w:r w:rsidRPr="00C76878">
        <w:rPr>
          <w:rFonts w:ascii="Arial Narrow" w:eastAsia="Arial Unicode MS" w:hAnsi="Arial Narrow" w:cs="Arial"/>
          <w:sz w:val="20"/>
          <w:szCs w:val="20"/>
        </w:rPr>
        <w:t xml:space="preserve">En efecto, la actividad turística es una de las más dinámicas de la </w:t>
      </w:r>
      <w:r w:rsidRPr="00C76878">
        <w:rPr>
          <w:rFonts w:ascii="Arial Narrow" w:hAnsi="Arial Narrow" w:cs="Arial"/>
          <w:sz w:val="20"/>
          <w:szCs w:val="20"/>
        </w:rPr>
        <w:t xml:space="preserve">economía, de tal forma que continuamente surgen nuevos modos de prestación de este servicio.  Los incisos mencionados del artículo 1 LIGSV, contienen una </w:t>
      </w:r>
      <w:r w:rsidRPr="00C76878">
        <w:rPr>
          <w:rFonts w:ascii="Arial Narrow" w:eastAsia="Arial Unicode MS" w:hAnsi="Arial Narrow" w:cs="Arial"/>
          <w:sz w:val="20"/>
          <w:szCs w:val="20"/>
        </w:rPr>
        <w:t xml:space="preserve">lista enumerativa que no se puede considerar cerrada, precisamente por la dinámica de este sector.  El legislador grava la prestación de un servicio y se limita a mencionar los modos de prestación más conocidos en su momento histórico.  No obstante, el derecho debe aplicarse tomando en cuenta la realidad cambiante del sector al cual se pretende regular. En este sentido, </w:t>
      </w:r>
      <w:r w:rsidRPr="00C76878">
        <w:rPr>
          <w:rFonts w:ascii="Arial Narrow" w:hAnsi="Arial Narrow" w:cs="Arial"/>
          <w:sz w:val="20"/>
          <w:szCs w:val="20"/>
        </w:rPr>
        <w:t>Andrés Gil Domínguez</w:t>
      </w:r>
      <w:r w:rsidRPr="00C76878">
        <w:rPr>
          <w:rFonts w:ascii="Arial Narrow" w:hAnsi="Arial Narrow" w:cs="Arial"/>
          <w:color w:val="000000"/>
          <w:sz w:val="20"/>
          <w:szCs w:val="20"/>
        </w:rPr>
        <w:t xml:space="preserve"> manifiesta: </w:t>
      </w:r>
      <w:r w:rsidRPr="00C76878">
        <w:rPr>
          <w:rFonts w:ascii="Arial Narrow" w:hAnsi="Arial Narrow" w:cs="Arial"/>
          <w:sz w:val="20"/>
          <w:szCs w:val="20"/>
        </w:rPr>
        <w:t>“... el derecho debe volver a la realidad, es decir, debe operar en cada caso concreto conforme al valor que los principios asignan a la realidad. No se puede controlar la validez de una norma teniendo en cuenta exclusivamente lo que ésta dice. (…) No basta una "validez lógica" es necesaria una "validez práctica". ¿Cuántas veces el significado en abstracto de una norma es diferente de su significado en el caso concreto?, ¿Cuántas veces las condiciones reales de funcionamiento de una norma tuercen su sentido, en ocasiones invirtiendo la intención del legislador? Siempre que se produce esta desviación, el "derecho viviente", o sea, el derecho que efectivamente rige, no es el que está escrito en los textos, sino el que resulta del impacto entre la norma en abstracto y sus condiciones reales de funcionamiento. (...)”</w:t>
      </w:r>
      <w:r w:rsidRPr="00C76878">
        <w:rPr>
          <w:rFonts w:ascii="Arial Narrow" w:hAnsi="Arial Narrow" w:cs="Arial"/>
          <w:sz w:val="20"/>
          <w:szCs w:val="20"/>
          <w:vertAlign w:val="superscript"/>
        </w:rPr>
        <w:footnoteReference w:id="2"/>
      </w:r>
      <w:r w:rsidRPr="00C76878">
        <w:rPr>
          <w:rFonts w:ascii="Arial Narrow" w:hAnsi="Arial Narrow" w:cs="Arial"/>
          <w:sz w:val="20"/>
          <w:szCs w:val="20"/>
          <w:vertAlign w:val="superscript"/>
        </w:rPr>
        <w:t>[2]</w:t>
      </w:r>
      <w:r w:rsidRPr="00C76878">
        <w:rPr>
          <w:rFonts w:ascii="Arial Narrow" w:hAnsi="Arial Narrow" w:cs="Arial"/>
          <w:sz w:val="20"/>
          <w:szCs w:val="20"/>
        </w:rPr>
        <w:t xml:space="preserve"> </w:t>
      </w:r>
    </w:p>
    <w:p w:rsidR="00C76878" w:rsidRPr="00C76878" w:rsidRDefault="00C76878" w:rsidP="00C76878">
      <w:pPr>
        <w:spacing w:after="0" w:line="240" w:lineRule="auto"/>
        <w:ind w:right="-569"/>
        <w:jc w:val="both"/>
        <w:rPr>
          <w:rFonts w:ascii="Arial Narrow" w:hAnsi="Arial Narrow" w:cs="Arial"/>
          <w:sz w:val="20"/>
          <w:szCs w:val="20"/>
        </w:rPr>
      </w:pPr>
    </w:p>
    <w:p w:rsidR="00C76878" w:rsidRPr="00C76878" w:rsidRDefault="00C76878" w:rsidP="00C76878">
      <w:pPr>
        <w:spacing w:after="0" w:line="240" w:lineRule="auto"/>
        <w:ind w:right="-569"/>
        <w:jc w:val="both"/>
        <w:rPr>
          <w:rFonts w:ascii="Arial Narrow" w:hAnsi="Arial Narrow" w:cs="Arial"/>
          <w:sz w:val="20"/>
          <w:szCs w:val="20"/>
        </w:rPr>
      </w:pPr>
    </w:p>
    <w:p w:rsidR="00C76878" w:rsidRPr="00C76878" w:rsidRDefault="00C76878" w:rsidP="00C76878">
      <w:pPr>
        <w:spacing w:after="0" w:line="240" w:lineRule="auto"/>
        <w:jc w:val="center"/>
        <w:rPr>
          <w:rFonts w:ascii="Arial Narrow" w:eastAsia="Times New Roman" w:hAnsi="Arial Narrow" w:cs="Arial"/>
          <w:b/>
          <w:color w:val="000000"/>
          <w:sz w:val="20"/>
          <w:szCs w:val="20"/>
          <w:lang w:eastAsia="es-ES"/>
        </w:rPr>
      </w:pPr>
      <w:r w:rsidRPr="00C76878">
        <w:rPr>
          <w:rFonts w:ascii="Arial Narrow" w:hAnsi="Arial Narrow" w:cs="Arial"/>
          <w:b/>
          <w:sz w:val="20"/>
          <w:szCs w:val="20"/>
        </w:rPr>
        <w:t>CRITERIO INSTITUCIONAL SOBRE EL CONTRIBUYENTE</w:t>
      </w:r>
      <w:r w:rsidRPr="00C76878">
        <w:rPr>
          <w:rFonts w:ascii="Arial Narrow" w:eastAsia="Times New Roman" w:hAnsi="Arial Narrow" w:cs="Arial"/>
          <w:b/>
          <w:color w:val="000000"/>
          <w:sz w:val="20"/>
          <w:szCs w:val="20"/>
          <w:lang w:eastAsia="es-ES"/>
        </w:rPr>
        <w:t xml:space="preserve"> EN LOS SERVICIOS QUE BRINDAN LOS CENTROS DE RECREO Y SIMILARES, LOS HOTELES, MOTELES, PENSIONES Y CASAS DE ESTANCIA TRANSITORIA O NO</w:t>
      </w:r>
    </w:p>
    <w:p w:rsidR="00C76878" w:rsidRPr="00C76878" w:rsidRDefault="00C76878" w:rsidP="00C76878">
      <w:pPr>
        <w:spacing w:after="0" w:line="240" w:lineRule="auto"/>
        <w:jc w:val="center"/>
        <w:rPr>
          <w:rFonts w:ascii="Arial Narrow" w:hAnsi="Arial Narrow" w:cs="Arial"/>
          <w:b/>
          <w:sz w:val="20"/>
          <w:szCs w:val="20"/>
        </w:rPr>
      </w:pPr>
    </w:p>
    <w:p w:rsidR="00C76878" w:rsidRPr="00C76878" w:rsidRDefault="00C76878" w:rsidP="00C76878">
      <w:pPr>
        <w:spacing w:after="0" w:line="240" w:lineRule="auto"/>
        <w:jc w:val="center"/>
        <w:rPr>
          <w:rFonts w:ascii="Arial Narrow" w:hAnsi="Arial Narrow" w:cs="Arial"/>
          <w:b/>
          <w:sz w:val="20"/>
          <w:szCs w:val="20"/>
        </w:rPr>
      </w:pPr>
    </w:p>
    <w:p w:rsidR="00C76878" w:rsidRPr="00C76878" w:rsidRDefault="00C76878" w:rsidP="00C76878">
      <w:pPr>
        <w:spacing w:after="0" w:line="240" w:lineRule="auto"/>
        <w:ind w:right="-2"/>
        <w:jc w:val="both"/>
        <w:rPr>
          <w:rFonts w:ascii="Arial Narrow" w:eastAsia="Times New Roman" w:hAnsi="Arial Narrow" w:cs="Arial"/>
          <w:i/>
          <w:color w:val="000000"/>
          <w:sz w:val="20"/>
          <w:szCs w:val="20"/>
        </w:rPr>
      </w:pPr>
      <w:r w:rsidRPr="00C76878">
        <w:rPr>
          <w:rFonts w:ascii="Arial Narrow" w:hAnsi="Arial Narrow" w:cs="Arial"/>
          <w:b/>
          <w:color w:val="333333"/>
          <w:sz w:val="20"/>
          <w:szCs w:val="20"/>
          <w:lang w:eastAsia="es-ES"/>
        </w:rPr>
        <w:t>I. -</w:t>
      </w:r>
      <w:r w:rsidRPr="00C76878">
        <w:rPr>
          <w:rFonts w:ascii="Arial Narrow" w:eastAsia="Times New Roman" w:hAnsi="Arial Narrow" w:cs="Arial"/>
          <w:color w:val="000000"/>
          <w:sz w:val="20"/>
          <w:szCs w:val="20"/>
        </w:rPr>
        <w:t xml:space="preserve"> Que el artículo 4º de la citada LIGSV dispone que </w:t>
      </w:r>
      <w:r w:rsidRPr="00C76878">
        <w:rPr>
          <w:rFonts w:ascii="Arial Narrow" w:eastAsia="Times New Roman" w:hAnsi="Arial Narrow" w:cs="Arial"/>
          <w:i/>
          <w:color w:val="000000"/>
          <w:sz w:val="20"/>
          <w:szCs w:val="20"/>
        </w:rPr>
        <w:t>“Las personas físicas o jurídicas, de derecho o de hecho, públicas o privadas, que realicen ventas o presten servicios en forma habitual, son contribuyentes de este impuesto.”</w:t>
      </w:r>
    </w:p>
    <w:p w:rsidR="00C76878" w:rsidRPr="00C76878" w:rsidRDefault="00C76878" w:rsidP="00C76878">
      <w:pPr>
        <w:tabs>
          <w:tab w:val="left" w:pos="0"/>
        </w:tabs>
        <w:spacing w:line="240" w:lineRule="auto"/>
        <w:ind w:right="-2"/>
        <w:contextualSpacing/>
        <w:jc w:val="center"/>
        <w:rPr>
          <w:rFonts w:ascii="Arial Narrow" w:hAnsi="Arial Narrow" w:cs="Arial"/>
          <w:sz w:val="20"/>
          <w:szCs w:val="20"/>
          <w:highlight w:val="yellow"/>
          <w:lang w:val="es-CO"/>
        </w:rPr>
      </w:pPr>
    </w:p>
    <w:p w:rsidR="00C76878" w:rsidRPr="00C76878" w:rsidRDefault="00C76878" w:rsidP="00C76878">
      <w:pPr>
        <w:tabs>
          <w:tab w:val="left" w:pos="0"/>
        </w:tabs>
        <w:spacing w:line="240" w:lineRule="auto"/>
        <w:ind w:right="-2"/>
        <w:contextualSpacing/>
        <w:jc w:val="center"/>
        <w:rPr>
          <w:rFonts w:ascii="Arial Narrow" w:hAnsi="Arial Narrow" w:cs="Arial"/>
          <w:sz w:val="20"/>
          <w:szCs w:val="20"/>
          <w:highlight w:val="yellow"/>
          <w:lang w:val="es-CO"/>
        </w:rPr>
      </w:pPr>
    </w:p>
    <w:p w:rsidR="00C76878" w:rsidRPr="00C76878" w:rsidRDefault="00C76878" w:rsidP="00C76878">
      <w:pPr>
        <w:tabs>
          <w:tab w:val="left" w:pos="0"/>
        </w:tabs>
        <w:spacing w:after="0" w:line="240" w:lineRule="auto"/>
        <w:ind w:right="-2"/>
        <w:contextualSpacing/>
        <w:jc w:val="both"/>
        <w:rPr>
          <w:rFonts w:ascii="Arial Narrow" w:eastAsia="Times New Roman" w:hAnsi="Arial Narrow" w:cs="Arial"/>
          <w:i/>
          <w:color w:val="000000"/>
          <w:sz w:val="20"/>
          <w:szCs w:val="20"/>
          <w:lang w:eastAsia="es-ES"/>
        </w:rPr>
      </w:pPr>
      <w:r w:rsidRPr="00C76878">
        <w:rPr>
          <w:rFonts w:ascii="Arial Narrow" w:hAnsi="Arial Narrow" w:cs="Arial"/>
          <w:b/>
          <w:color w:val="333333"/>
          <w:sz w:val="20"/>
          <w:szCs w:val="20"/>
          <w:lang w:eastAsia="es-ES"/>
        </w:rPr>
        <w:t>II</w:t>
      </w:r>
      <w:r w:rsidRPr="00C76878">
        <w:rPr>
          <w:rFonts w:ascii="Arial Narrow" w:hAnsi="Arial Narrow" w:cs="Arial"/>
          <w:color w:val="333333"/>
          <w:sz w:val="20"/>
          <w:szCs w:val="20"/>
          <w:lang w:eastAsia="es-ES"/>
        </w:rPr>
        <w:t xml:space="preserve"> - </w:t>
      </w:r>
      <w:r w:rsidRPr="00C76878">
        <w:rPr>
          <w:rFonts w:ascii="Arial Narrow" w:hAnsi="Arial Narrow" w:cs="Arial"/>
          <w:sz w:val="20"/>
          <w:szCs w:val="20"/>
          <w:lang w:val="es-CO"/>
        </w:rPr>
        <w:t xml:space="preserve">Que el artículo 17 del Código de Normas y Procedimientos Tributarios, en adelante CNPT, establece que: </w:t>
      </w:r>
      <w:r w:rsidRPr="00C76878">
        <w:rPr>
          <w:rFonts w:ascii="Arial Narrow" w:eastAsia="Times New Roman" w:hAnsi="Arial Narrow" w:cs="Arial"/>
          <w:i/>
          <w:color w:val="000000"/>
          <w:sz w:val="20"/>
          <w:szCs w:val="20"/>
          <w:lang w:eastAsia="es-ES"/>
        </w:rPr>
        <w:t>Son contribuyentes las personas respecto de las cuales se verifica el hecho generador de la obligación tributaria. Dicha condición puede recaer: a) En las personas naturales, prescindiendo de su capacidad, según el Derecho Civil o Comercial; b) En las personas jurídicas, en los fideicomisos y en los demás entes colectivos a los cuales otras ramas jurídicas atribuyen calidad de sujeto de derecho; y c) En las entidades o colectividades que constituyan una unidad económica, dispongan de patrimonio y tengan autonomía funcional.”</w:t>
      </w:r>
    </w:p>
    <w:p w:rsidR="00C76878" w:rsidRPr="00C76878" w:rsidRDefault="00C76878" w:rsidP="00C76878">
      <w:pPr>
        <w:tabs>
          <w:tab w:val="left" w:pos="8504"/>
        </w:tabs>
        <w:spacing w:before="100" w:beforeAutospacing="1" w:after="100" w:afterAutospacing="1" w:line="240" w:lineRule="auto"/>
        <w:jc w:val="both"/>
        <w:rPr>
          <w:rFonts w:ascii="Arial Narrow" w:eastAsia="Times New Roman" w:hAnsi="Arial Narrow" w:cs="Arial"/>
          <w:color w:val="000000"/>
          <w:sz w:val="20"/>
          <w:szCs w:val="20"/>
          <w:lang w:eastAsia="es-ES"/>
        </w:rPr>
      </w:pPr>
      <w:r w:rsidRPr="00C76878">
        <w:rPr>
          <w:rFonts w:ascii="Arial Narrow" w:eastAsia="Times New Roman" w:hAnsi="Arial Narrow" w:cs="Arial"/>
          <w:b/>
          <w:color w:val="000000"/>
          <w:sz w:val="20"/>
          <w:szCs w:val="20"/>
          <w:lang w:eastAsia="es-ES"/>
        </w:rPr>
        <w:t>III-</w:t>
      </w:r>
      <w:r w:rsidRPr="00C76878">
        <w:rPr>
          <w:rFonts w:ascii="Arial Narrow" w:eastAsia="Times New Roman" w:hAnsi="Arial Narrow" w:cs="Arial"/>
          <w:color w:val="000000"/>
          <w:sz w:val="20"/>
          <w:szCs w:val="20"/>
          <w:lang w:eastAsia="es-ES"/>
        </w:rPr>
        <w:t xml:space="preserve"> Que en el caso del impuesto sobre las ventas, como impuesto al valor agregado que es, el empresario es el sujeto pasivo del impuesto, pues tiene la obligación de soportar el tributo y trasladarlo a la siguiente fase de producción del bien o de prestación del servicio gravado, constituyendo este un caso de contribuyente con poder – deber de traslación, aunque no sea su propia capacidad económica la que sea afectada, entrando claramente así en la categoría de sujeto pasivo en calidad de contribuyente. </w:t>
      </w:r>
    </w:p>
    <w:p w:rsidR="00C76878" w:rsidRPr="00C76878" w:rsidRDefault="00C76878" w:rsidP="00C76878">
      <w:pPr>
        <w:spacing w:after="0" w:line="240" w:lineRule="auto"/>
        <w:jc w:val="both"/>
        <w:rPr>
          <w:rFonts w:ascii="Arial Narrow" w:eastAsia="Times New Roman" w:hAnsi="Arial Narrow" w:cs="Arial"/>
          <w:sz w:val="20"/>
          <w:szCs w:val="20"/>
          <w:lang w:eastAsia="es-ES"/>
        </w:rPr>
      </w:pPr>
      <w:r w:rsidRPr="00C76878">
        <w:rPr>
          <w:rFonts w:ascii="Arial Narrow" w:eastAsia="Times New Roman" w:hAnsi="Arial Narrow" w:cs="Arial"/>
          <w:b/>
          <w:sz w:val="20"/>
          <w:szCs w:val="20"/>
          <w:lang w:eastAsia="es-ES"/>
        </w:rPr>
        <w:t>IV</w:t>
      </w:r>
      <w:r w:rsidRPr="00C76878">
        <w:rPr>
          <w:rFonts w:ascii="Arial Narrow" w:eastAsia="Times New Roman" w:hAnsi="Arial Narrow" w:cs="Arial"/>
          <w:sz w:val="20"/>
          <w:szCs w:val="20"/>
          <w:lang w:eastAsia="es-ES"/>
        </w:rPr>
        <w:t xml:space="preserve">- De conformidad con las normas citadas, es </w:t>
      </w:r>
      <w:r w:rsidRPr="00C76878">
        <w:rPr>
          <w:rFonts w:ascii="Arial Narrow" w:eastAsia="Times New Roman" w:hAnsi="Arial Narrow" w:cs="Arial"/>
          <w:b/>
          <w:i/>
          <w:sz w:val="20"/>
          <w:szCs w:val="20"/>
          <w:lang w:eastAsia="es-ES"/>
        </w:rPr>
        <w:t>contribuyente</w:t>
      </w:r>
      <w:r w:rsidRPr="00C76878">
        <w:rPr>
          <w:rFonts w:ascii="Arial Narrow" w:eastAsia="Times New Roman" w:hAnsi="Arial Narrow" w:cs="Arial"/>
          <w:sz w:val="20"/>
          <w:szCs w:val="20"/>
          <w:lang w:eastAsia="es-ES"/>
        </w:rPr>
        <w:t xml:space="preserve"> de este impuesto, toda persona física o jurídica que </w:t>
      </w:r>
      <w:r w:rsidRPr="00C76878">
        <w:rPr>
          <w:rFonts w:ascii="Arial Narrow" w:hAnsi="Arial Narrow" w:cs="Arial"/>
          <w:bCs/>
          <w:color w:val="000000"/>
          <w:sz w:val="20"/>
          <w:szCs w:val="20"/>
        </w:rPr>
        <w:t>se dedique, de forma habitual, a organizar los recursos necesarios para que las casas, condominios o unidades construidas originalmente para ser utilizadas como unidades habitacionales, puedan ser alquiladas como espacios de estancia transitoria.</w:t>
      </w:r>
      <w:r w:rsidRPr="00C76878">
        <w:rPr>
          <w:rFonts w:ascii="Arial Narrow" w:eastAsia="Times New Roman" w:hAnsi="Arial Narrow" w:cs="Arial"/>
          <w:sz w:val="20"/>
          <w:szCs w:val="20"/>
          <w:lang w:eastAsia="es-ES"/>
        </w:rPr>
        <w:t xml:space="preserve"> </w:t>
      </w:r>
    </w:p>
    <w:p w:rsidR="00C76878" w:rsidRPr="00C76878" w:rsidRDefault="00C76878" w:rsidP="00C76878">
      <w:pPr>
        <w:spacing w:after="0" w:line="240" w:lineRule="auto"/>
        <w:ind w:right="-2"/>
        <w:jc w:val="both"/>
        <w:rPr>
          <w:rFonts w:ascii="Arial Narrow" w:eastAsia="Times New Roman" w:hAnsi="Arial Narrow" w:cs="Arial"/>
          <w:sz w:val="20"/>
          <w:szCs w:val="20"/>
          <w:lang w:eastAsia="es-ES"/>
        </w:rPr>
      </w:pPr>
    </w:p>
    <w:p w:rsidR="00C76878" w:rsidRPr="00C76878" w:rsidRDefault="00C76878" w:rsidP="00C76878">
      <w:pPr>
        <w:spacing w:after="0" w:line="240" w:lineRule="auto"/>
        <w:ind w:right="-2"/>
        <w:jc w:val="both"/>
        <w:rPr>
          <w:rFonts w:ascii="Arial Narrow" w:eastAsia="Times New Roman" w:hAnsi="Arial Narrow" w:cs="Arial"/>
          <w:sz w:val="20"/>
          <w:szCs w:val="20"/>
          <w:lang w:eastAsia="es-ES"/>
        </w:rPr>
      </w:pPr>
    </w:p>
    <w:p w:rsidR="00C76878" w:rsidRPr="00C76878" w:rsidRDefault="00C76878" w:rsidP="00C76878">
      <w:pPr>
        <w:spacing w:after="0" w:line="240" w:lineRule="auto"/>
        <w:ind w:right="-2"/>
        <w:jc w:val="both"/>
        <w:rPr>
          <w:rFonts w:ascii="Arial Narrow" w:eastAsia="Times New Roman" w:hAnsi="Arial Narrow" w:cs="Arial"/>
          <w:sz w:val="20"/>
          <w:szCs w:val="20"/>
          <w:lang w:eastAsia="es-ES"/>
        </w:rPr>
      </w:pPr>
      <w:r w:rsidRPr="00C76878">
        <w:rPr>
          <w:rFonts w:ascii="Arial Narrow" w:hAnsi="Arial Narrow" w:cs="Arial"/>
          <w:b/>
          <w:color w:val="333333"/>
          <w:sz w:val="20"/>
          <w:szCs w:val="20"/>
          <w:lang w:eastAsia="es-ES"/>
        </w:rPr>
        <w:t xml:space="preserve">V- </w:t>
      </w:r>
      <w:r w:rsidRPr="00C76878">
        <w:rPr>
          <w:rFonts w:ascii="Arial Narrow" w:eastAsia="Times New Roman" w:hAnsi="Arial Narrow" w:cs="Arial"/>
          <w:sz w:val="20"/>
          <w:szCs w:val="20"/>
          <w:lang w:eastAsia="es-ES"/>
        </w:rPr>
        <w:t>A efecto de lograr el adecuado cumplimiento de las obligaciones tributarias materiales, el sujeto pasivo está facultado, para repercutir el impuesto al sujeto que disfrute y goce las instalaciones.</w:t>
      </w:r>
    </w:p>
    <w:p w:rsidR="00C76878" w:rsidRPr="00C76878" w:rsidRDefault="00C76878" w:rsidP="00C76878">
      <w:pPr>
        <w:spacing w:after="0" w:line="240" w:lineRule="auto"/>
        <w:ind w:right="-2"/>
        <w:jc w:val="both"/>
        <w:rPr>
          <w:rFonts w:ascii="Arial Narrow" w:hAnsi="Arial Narrow" w:cs="Arial"/>
          <w:color w:val="333333"/>
          <w:sz w:val="20"/>
          <w:szCs w:val="20"/>
          <w:lang w:val="es-ES_tradnl" w:eastAsia="es-ES"/>
        </w:rPr>
      </w:pPr>
    </w:p>
    <w:p w:rsidR="00C76878" w:rsidRPr="00C76878" w:rsidRDefault="00C76878" w:rsidP="00C76878">
      <w:pPr>
        <w:spacing w:after="0" w:line="240" w:lineRule="auto"/>
        <w:ind w:right="-2"/>
        <w:jc w:val="both"/>
        <w:rPr>
          <w:rFonts w:ascii="Arial Narrow" w:hAnsi="Arial Narrow" w:cs="Arial"/>
          <w:color w:val="333333"/>
          <w:sz w:val="20"/>
          <w:szCs w:val="20"/>
          <w:lang w:val="es-ES_tradnl" w:eastAsia="es-ES"/>
        </w:rPr>
      </w:pPr>
    </w:p>
    <w:p w:rsidR="00C76878" w:rsidRPr="00C76878" w:rsidRDefault="00C76878" w:rsidP="00C76878">
      <w:pPr>
        <w:spacing w:after="0" w:line="240" w:lineRule="auto"/>
        <w:ind w:right="-2"/>
        <w:jc w:val="center"/>
        <w:rPr>
          <w:rFonts w:ascii="Arial Narrow" w:hAnsi="Arial Narrow" w:cs="Arial"/>
          <w:b/>
          <w:color w:val="333333"/>
          <w:sz w:val="20"/>
          <w:szCs w:val="20"/>
          <w:lang w:val="pt-BR" w:eastAsia="es-ES"/>
        </w:rPr>
      </w:pPr>
      <w:r w:rsidRPr="00C76878">
        <w:rPr>
          <w:rFonts w:ascii="Arial Narrow" w:hAnsi="Arial Narrow" w:cs="Arial"/>
          <w:b/>
          <w:color w:val="333333"/>
          <w:sz w:val="20"/>
          <w:szCs w:val="20"/>
          <w:lang w:val="pt-BR" w:eastAsia="es-ES"/>
        </w:rPr>
        <w:t>Francisco Villalobos Brenes</w:t>
      </w:r>
    </w:p>
    <w:p w:rsidR="00C76878" w:rsidRPr="00C76878" w:rsidRDefault="00C76878" w:rsidP="00C76878">
      <w:pPr>
        <w:spacing w:after="0" w:line="240" w:lineRule="auto"/>
        <w:ind w:right="-2"/>
        <w:jc w:val="center"/>
        <w:rPr>
          <w:rFonts w:ascii="Arial Narrow" w:hAnsi="Arial Narrow" w:cs="Arial"/>
          <w:b/>
          <w:color w:val="333333"/>
          <w:sz w:val="20"/>
          <w:szCs w:val="20"/>
          <w:lang w:val="pt-BR" w:eastAsia="es-ES"/>
        </w:rPr>
      </w:pPr>
      <w:proofErr w:type="spellStart"/>
      <w:r>
        <w:rPr>
          <w:rFonts w:ascii="Arial Narrow" w:hAnsi="Arial Narrow" w:cs="Arial"/>
          <w:b/>
          <w:color w:val="333333"/>
          <w:sz w:val="20"/>
          <w:szCs w:val="20"/>
          <w:lang w:val="pt-BR" w:eastAsia="es-ES"/>
        </w:rPr>
        <w:t>Director</w:t>
      </w:r>
      <w:proofErr w:type="spellEnd"/>
      <w:r>
        <w:rPr>
          <w:rFonts w:ascii="Arial Narrow" w:hAnsi="Arial Narrow" w:cs="Arial"/>
          <w:b/>
          <w:color w:val="333333"/>
          <w:sz w:val="20"/>
          <w:szCs w:val="20"/>
          <w:lang w:val="pt-BR" w:eastAsia="es-ES"/>
        </w:rPr>
        <w:t xml:space="preserve"> General de Tributación</w:t>
      </w:r>
    </w:p>
    <w:p w:rsidR="00C76878" w:rsidRPr="00C76878" w:rsidRDefault="00C76878" w:rsidP="00C76878">
      <w:pPr>
        <w:spacing w:after="0" w:line="240" w:lineRule="auto"/>
        <w:ind w:right="-2"/>
        <w:rPr>
          <w:rFonts w:ascii="Arial Narrow" w:hAnsi="Arial Narrow" w:cs="Arial"/>
          <w:b/>
          <w:color w:val="333333"/>
          <w:sz w:val="20"/>
          <w:szCs w:val="20"/>
          <w:lang w:val="pt-BR" w:eastAsia="es-ES"/>
        </w:rPr>
      </w:pPr>
    </w:p>
    <w:p w:rsidR="00C76878" w:rsidRPr="00C76878" w:rsidRDefault="00C76878" w:rsidP="00C76878">
      <w:pPr>
        <w:spacing w:after="0" w:line="240" w:lineRule="auto"/>
        <w:rPr>
          <w:rFonts w:ascii="Arial Narrow" w:hAnsi="Arial Narrow"/>
          <w:sz w:val="20"/>
          <w:szCs w:val="20"/>
        </w:rPr>
      </w:pPr>
    </w:p>
    <w:sectPr w:rsidR="00C76878" w:rsidRPr="00C76878" w:rsidSect="00C7687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035" w:rsidRDefault="00503035" w:rsidP="00C76878">
      <w:pPr>
        <w:spacing w:after="0" w:line="240" w:lineRule="auto"/>
      </w:pPr>
      <w:r>
        <w:separator/>
      </w:r>
    </w:p>
  </w:endnote>
  <w:endnote w:type="continuationSeparator" w:id="0">
    <w:p w:rsidR="00503035" w:rsidRDefault="00503035" w:rsidP="00C76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035" w:rsidRDefault="00503035" w:rsidP="00C76878">
      <w:pPr>
        <w:spacing w:after="0" w:line="240" w:lineRule="auto"/>
      </w:pPr>
      <w:r>
        <w:separator/>
      </w:r>
    </w:p>
  </w:footnote>
  <w:footnote w:type="continuationSeparator" w:id="0">
    <w:p w:rsidR="00503035" w:rsidRDefault="00503035" w:rsidP="00C76878">
      <w:pPr>
        <w:spacing w:after="0" w:line="240" w:lineRule="auto"/>
      </w:pPr>
      <w:r>
        <w:continuationSeparator/>
      </w:r>
    </w:p>
  </w:footnote>
  <w:footnote w:id="1">
    <w:p w:rsidR="00C76878" w:rsidRDefault="00C76878" w:rsidP="00C76878">
      <w:pPr>
        <w:pStyle w:val="Textonotapie"/>
        <w:ind w:right="-2"/>
        <w:jc w:val="both"/>
        <w:rPr>
          <w:rFonts w:ascii="Arial" w:hAnsi="Arial" w:cs="Arial"/>
          <w:sz w:val="18"/>
          <w:szCs w:val="18"/>
        </w:rPr>
      </w:pPr>
      <w:r>
        <w:rPr>
          <w:rStyle w:val="Refdenotaalpie"/>
        </w:rPr>
        <w:footnoteRef/>
      </w:r>
      <w:r>
        <w:rPr>
          <w:rStyle w:val="Refdenotaalpie"/>
        </w:rPr>
        <w:t>[1]</w:t>
      </w:r>
      <w:r>
        <w:t xml:space="preserve"> La siguiente referencia, usual referencia en la doctrina sobre el tema, es útil para ilustrar la cuestión: “El Tribunal Supremo, en sentencia de 17 de diciembre de 1957, entendió que la pesca de mejillones no estaba sujeta a un tributo – arbitrio sobre la pesca- cuya recaudación se destinaba a las Juntas de Puertos. La razón de la no sujeción era que los mejillones son moluscos y no pescados. Una interpretación científica de los conceptos pez y moluscos conducía a sujetar a tributación a los primeros y no a los segundos. Con posterioridad el propio Tribunal Supremo mantuvo la razón </w:t>
      </w:r>
      <w:r>
        <w:rPr>
          <w:rFonts w:ascii="Arial" w:hAnsi="Arial" w:cs="Arial"/>
          <w:sz w:val="18"/>
          <w:szCs w:val="18"/>
        </w:rPr>
        <w:t>contraria, por razones compartibles, que son en síntesis</w:t>
      </w:r>
      <w:proofErr w:type="gramStart"/>
      <w:r>
        <w:rPr>
          <w:rFonts w:ascii="Arial" w:hAnsi="Arial" w:cs="Arial"/>
          <w:sz w:val="18"/>
          <w:szCs w:val="18"/>
        </w:rPr>
        <w:t>:  a</w:t>
      </w:r>
      <w:proofErr w:type="gramEnd"/>
      <w:r>
        <w:rPr>
          <w:rFonts w:ascii="Arial" w:hAnsi="Arial" w:cs="Arial"/>
          <w:sz w:val="18"/>
          <w:szCs w:val="18"/>
        </w:rPr>
        <w:t xml:space="preserve">) el decreto regulador del arbitrio identifica pesca y pescado ; b) esta identificación coincide con la interpretación usual y c) estando establecido el tributo con el fin de mantener y mejorar los puestos pequeros y de refugio, quebraría la justicia distributiva hacer de mejor condición una parte de la pesca, al eximirla de cargas fiscales sin fundamento para ello.” En Curso de Derecho Financiero y Tributario. </w:t>
      </w:r>
      <w:proofErr w:type="spellStart"/>
      <w:r>
        <w:rPr>
          <w:rFonts w:ascii="Arial" w:hAnsi="Arial" w:cs="Arial"/>
          <w:sz w:val="18"/>
          <w:szCs w:val="18"/>
        </w:rPr>
        <w:t>Editoral</w:t>
      </w:r>
      <w:proofErr w:type="spellEnd"/>
      <w:r>
        <w:rPr>
          <w:rFonts w:ascii="Arial" w:hAnsi="Arial" w:cs="Arial"/>
          <w:sz w:val="18"/>
          <w:szCs w:val="18"/>
        </w:rPr>
        <w:t xml:space="preserve"> </w:t>
      </w:r>
      <w:proofErr w:type="spellStart"/>
      <w:r>
        <w:rPr>
          <w:rFonts w:ascii="Arial" w:hAnsi="Arial" w:cs="Arial"/>
          <w:sz w:val="18"/>
          <w:szCs w:val="18"/>
        </w:rPr>
        <w:t>Tecnos</w:t>
      </w:r>
      <w:proofErr w:type="spellEnd"/>
      <w:r>
        <w:rPr>
          <w:rFonts w:ascii="Arial" w:hAnsi="Arial" w:cs="Arial"/>
          <w:sz w:val="18"/>
          <w:szCs w:val="18"/>
        </w:rPr>
        <w:t xml:space="preserve">, Madrid 2001. Juan Martín </w:t>
      </w:r>
      <w:proofErr w:type="spellStart"/>
      <w:r>
        <w:rPr>
          <w:rFonts w:ascii="Arial" w:hAnsi="Arial" w:cs="Arial"/>
          <w:sz w:val="18"/>
          <w:szCs w:val="18"/>
        </w:rPr>
        <w:t>Queralt</w:t>
      </w:r>
      <w:proofErr w:type="spellEnd"/>
      <w:r>
        <w:rPr>
          <w:rFonts w:ascii="Arial" w:hAnsi="Arial" w:cs="Arial"/>
          <w:sz w:val="18"/>
          <w:szCs w:val="18"/>
        </w:rPr>
        <w:t xml:space="preserve"> y otros. </w:t>
      </w:r>
    </w:p>
    <w:p w:rsidR="00C76878" w:rsidRDefault="00C76878" w:rsidP="00C76878">
      <w:pPr>
        <w:pStyle w:val="Textonotapie"/>
        <w:rPr>
          <w:rFonts w:ascii="Arial" w:hAnsi="Arial" w:cs="Arial"/>
          <w:sz w:val="18"/>
          <w:szCs w:val="18"/>
        </w:rPr>
      </w:pPr>
    </w:p>
  </w:footnote>
  <w:footnote w:id="2">
    <w:p w:rsidR="00C76878" w:rsidRDefault="00C76878" w:rsidP="00C76878">
      <w:pPr>
        <w:pStyle w:val="NormalWeb"/>
        <w:tabs>
          <w:tab w:val="left" w:pos="7797"/>
        </w:tabs>
        <w:spacing w:before="0" w:beforeAutospacing="0" w:after="0" w:afterAutospacing="0"/>
        <w:ind w:right="-2"/>
        <w:jc w:val="both"/>
        <w:rPr>
          <w:rFonts w:ascii="Arial" w:hAnsi="Arial" w:cs="Arial"/>
          <w:sz w:val="18"/>
          <w:szCs w:val="18"/>
        </w:rPr>
      </w:pPr>
      <w:r>
        <w:rPr>
          <w:rStyle w:val="Refdenotaalpie"/>
          <w:rFonts w:ascii="Arial" w:hAnsi="Arial" w:cs="Arial"/>
          <w:b/>
          <w:bCs/>
          <w:sz w:val="18"/>
          <w:szCs w:val="18"/>
        </w:rPr>
        <w:footnoteRef/>
      </w:r>
      <w:r>
        <w:rPr>
          <w:rStyle w:val="Refdenotaalpie"/>
          <w:rFonts w:ascii="Arial" w:hAnsi="Arial" w:cs="Arial"/>
          <w:b/>
          <w:sz w:val="18"/>
          <w:szCs w:val="18"/>
        </w:rPr>
        <w:t>[2]</w:t>
      </w:r>
      <w:r>
        <w:rPr>
          <w:rFonts w:ascii="Arial" w:hAnsi="Arial" w:cs="Arial"/>
          <w:b/>
          <w:bCs/>
          <w:sz w:val="18"/>
          <w:szCs w:val="18"/>
        </w:rPr>
        <w:t xml:space="preserve"> “</w:t>
      </w:r>
      <w:r>
        <w:rPr>
          <w:rStyle w:val="Textoennegrita"/>
          <w:rFonts w:ascii="Arial" w:hAnsi="Arial" w:cs="Arial"/>
          <w:sz w:val="18"/>
          <w:szCs w:val="18"/>
        </w:rPr>
        <w:t>El derecho a la no discriminación: un fallo de la corte que genera horizontes impredecibles”.  Publicación</w:t>
      </w:r>
      <w:proofErr w:type="gramStart"/>
      <w:r>
        <w:rPr>
          <w:rStyle w:val="Textoennegrita"/>
          <w:rFonts w:ascii="Arial" w:hAnsi="Arial" w:cs="Arial"/>
          <w:sz w:val="18"/>
          <w:szCs w:val="18"/>
        </w:rPr>
        <w:t>:  LA</w:t>
      </w:r>
      <w:proofErr w:type="gramEnd"/>
      <w:r>
        <w:rPr>
          <w:rStyle w:val="Textoennegrita"/>
          <w:rFonts w:ascii="Arial" w:hAnsi="Arial" w:cs="Arial"/>
          <w:sz w:val="18"/>
          <w:szCs w:val="18"/>
        </w:rPr>
        <w:t xml:space="preserve"> LEY, 2000F, 126, Nota a Fallo, Buenos Aires. Ver también </w:t>
      </w:r>
      <w:r>
        <w:rPr>
          <w:rFonts w:ascii="Arial" w:hAnsi="Arial" w:cs="Arial"/>
          <w:sz w:val="18"/>
          <w:szCs w:val="18"/>
        </w:rPr>
        <w:t xml:space="preserve">ZAGREBELSKY, Gustavo, "El Derecho dúctil", Editorial </w:t>
      </w:r>
      <w:proofErr w:type="spellStart"/>
      <w:r>
        <w:rPr>
          <w:rFonts w:ascii="Arial" w:hAnsi="Arial" w:cs="Arial"/>
          <w:sz w:val="18"/>
          <w:szCs w:val="18"/>
        </w:rPr>
        <w:t>Trotta</w:t>
      </w:r>
      <w:proofErr w:type="spellEnd"/>
      <w:r>
        <w:rPr>
          <w:rFonts w:ascii="Arial" w:hAnsi="Arial" w:cs="Arial"/>
          <w:sz w:val="18"/>
          <w:szCs w:val="18"/>
        </w:rPr>
        <w:t>, España, 1999, p. 121.</w:t>
      </w:r>
    </w:p>
    <w:p w:rsidR="00C76878" w:rsidRDefault="00C76878" w:rsidP="00C76878">
      <w:pPr>
        <w:pStyle w:val="NormalWeb"/>
        <w:tabs>
          <w:tab w:val="left" w:pos="7797"/>
          <w:tab w:val="left" w:pos="9639"/>
        </w:tabs>
        <w:ind w:right="-569"/>
        <w:jc w:val="both"/>
      </w:pP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76878"/>
    <w:rsid w:val="003A225B"/>
    <w:rsid w:val="004E2CD2"/>
    <w:rsid w:val="00503035"/>
    <w:rsid w:val="00A86013"/>
    <w:rsid w:val="00C768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687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C76878"/>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C76878"/>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uiPriority w:val="99"/>
    <w:semiHidden/>
    <w:unhideWhenUsed/>
    <w:rsid w:val="00C768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76878"/>
  </w:style>
  <w:style w:type="paragraph" w:styleId="Prrafodelista">
    <w:name w:val="List Paragraph"/>
    <w:basedOn w:val="Normal"/>
    <w:uiPriority w:val="34"/>
    <w:qFormat/>
    <w:rsid w:val="00C76878"/>
    <w:pPr>
      <w:ind w:left="720"/>
      <w:contextualSpacing/>
    </w:pPr>
  </w:style>
  <w:style w:type="character" w:styleId="Refdenotaalpie">
    <w:name w:val="footnote reference"/>
    <w:basedOn w:val="Fuentedeprrafopredeter"/>
    <w:uiPriority w:val="99"/>
    <w:semiHidden/>
    <w:unhideWhenUsed/>
    <w:rsid w:val="00C76878"/>
    <w:rPr>
      <w:vertAlign w:val="superscript"/>
    </w:rPr>
  </w:style>
  <w:style w:type="character" w:styleId="Textoennegrita">
    <w:name w:val="Strong"/>
    <w:basedOn w:val="Fuentedeprrafopredeter"/>
    <w:uiPriority w:val="22"/>
    <w:qFormat/>
    <w:rsid w:val="00C76878"/>
    <w:rPr>
      <w:b/>
      <w:bCs/>
    </w:rPr>
  </w:style>
</w:styles>
</file>

<file path=word/webSettings.xml><?xml version="1.0" encoding="utf-8"?>
<w:webSettings xmlns:r="http://schemas.openxmlformats.org/officeDocument/2006/relationships" xmlns:w="http://schemas.openxmlformats.org/wordprocessingml/2006/main">
  <w:divs>
    <w:div w:id="634481425">
      <w:bodyDiv w:val="1"/>
      <w:marLeft w:val="0"/>
      <w:marRight w:val="0"/>
      <w:marTop w:val="0"/>
      <w:marBottom w:val="0"/>
      <w:divBdr>
        <w:top w:val="none" w:sz="0" w:space="0" w:color="auto"/>
        <w:left w:val="none" w:sz="0" w:space="0" w:color="auto"/>
        <w:bottom w:val="none" w:sz="0" w:space="0" w:color="auto"/>
        <w:right w:val="none" w:sz="0" w:space="0" w:color="auto"/>
      </w:divBdr>
      <w:divsChild>
        <w:div w:id="11753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1360</Words>
  <Characters>7483</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barquerohc</dc:creator>
  <cp:keywords/>
  <dc:description/>
  <cp:lastModifiedBy>barquerohc</cp:lastModifiedBy>
  <cp:revision>1</cp:revision>
  <dcterms:created xsi:type="dcterms:W3CDTF">2013-01-11T14:48:00Z</dcterms:created>
  <dcterms:modified xsi:type="dcterms:W3CDTF">2013-01-11T14:49:00Z</dcterms:modified>
</cp:coreProperties>
</file>