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233" w:rsidRPr="00216233" w:rsidRDefault="00216233" w:rsidP="00216233">
      <w:pPr>
        <w:spacing w:after="0" w:line="240" w:lineRule="auto"/>
        <w:jc w:val="center"/>
        <w:rPr>
          <w:rFonts w:ascii="Arial Narrow" w:eastAsia="Times New Roman" w:hAnsi="Arial Narrow" w:cs="Times New Roman"/>
          <w:b/>
          <w:bCs/>
          <w:color w:val="000000"/>
          <w:sz w:val="20"/>
          <w:szCs w:val="20"/>
          <w:lang w:eastAsia="es-ES"/>
        </w:rPr>
      </w:pPr>
      <w:r w:rsidRPr="00216233">
        <w:rPr>
          <w:rFonts w:ascii="Arial Narrow" w:eastAsia="Times New Roman" w:hAnsi="Arial Narrow" w:cs="Times New Roman"/>
          <w:b/>
          <w:sz w:val="20"/>
          <w:szCs w:val="20"/>
          <w:lang w:eastAsia="es-ES"/>
        </w:rPr>
        <w:t>Criterio Institucional sobre el hecho generador del impuesto de ventas en relación con los bienes destruidos, hurtados o robados dispuestos para la venta.</w:t>
      </w:r>
    </w:p>
    <w:p w:rsidR="00216233" w:rsidRPr="00216233" w:rsidRDefault="00216233" w:rsidP="00216233">
      <w:pPr>
        <w:spacing w:after="0" w:line="240" w:lineRule="auto"/>
        <w:jc w:val="center"/>
        <w:rPr>
          <w:rFonts w:ascii="Arial Narrow" w:eastAsia="Times New Roman" w:hAnsi="Arial Narrow" w:cs="Times New Roman"/>
          <w:b/>
          <w:bCs/>
          <w:color w:val="000000"/>
          <w:sz w:val="20"/>
          <w:szCs w:val="20"/>
          <w:lang w:eastAsia="es-ES"/>
        </w:rPr>
      </w:pPr>
    </w:p>
    <w:p w:rsidR="00216233" w:rsidRPr="00216233" w:rsidRDefault="00216233" w:rsidP="00216233">
      <w:pPr>
        <w:spacing w:after="0" w:line="240" w:lineRule="auto"/>
        <w:jc w:val="center"/>
        <w:rPr>
          <w:rFonts w:ascii="Arial Narrow" w:eastAsia="Times New Roman" w:hAnsi="Arial Narrow" w:cs="Times New Roman"/>
          <w:b/>
          <w:bCs/>
          <w:color w:val="000000"/>
          <w:sz w:val="20"/>
          <w:szCs w:val="20"/>
          <w:lang w:eastAsia="es-ES"/>
        </w:rPr>
      </w:pPr>
      <w:r w:rsidRPr="00216233">
        <w:rPr>
          <w:rFonts w:ascii="Arial Narrow" w:eastAsia="Times New Roman" w:hAnsi="Arial Narrow" w:cs="Times New Roman"/>
          <w:b/>
          <w:bCs/>
          <w:color w:val="000000"/>
          <w:sz w:val="20"/>
          <w:szCs w:val="20"/>
          <w:lang w:eastAsia="es-ES"/>
        </w:rPr>
        <w:t xml:space="preserve">Dirección General de Tributación </w:t>
      </w:r>
    </w:p>
    <w:p w:rsidR="00216233" w:rsidRPr="00216233" w:rsidRDefault="00216233" w:rsidP="00216233">
      <w:pPr>
        <w:spacing w:after="0" w:line="240" w:lineRule="auto"/>
        <w:jc w:val="center"/>
        <w:rPr>
          <w:rFonts w:ascii="Arial Narrow" w:eastAsia="Times New Roman" w:hAnsi="Arial Narrow" w:cs="Times New Roman"/>
          <w:b/>
          <w:bCs/>
          <w:color w:val="000000"/>
          <w:sz w:val="20"/>
          <w:szCs w:val="20"/>
          <w:lang w:eastAsia="es-ES"/>
        </w:rPr>
      </w:pPr>
    </w:p>
    <w:p w:rsidR="00216233" w:rsidRPr="00216233" w:rsidRDefault="00216233" w:rsidP="00216233">
      <w:pPr>
        <w:spacing w:after="0" w:line="240" w:lineRule="auto"/>
        <w:jc w:val="center"/>
        <w:rPr>
          <w:rFonts w:ascii="Arial Narrow" w:eastAsia="Times New Roman" w:hAnsi="Arial Narrow" w:cs="Times New Roman"/>
          <w:b/>
          <w:bCs/>
          <w:color w:val="000000"/>
          <w:sz w:val="20"/>
          <w:szCs w:val="20"/>
          <w:lang w:eastAsia="es-ES"/>
        </w:rPr>
      </w:pPr>
      <w:r w:rsidRPr="00216233">
        <w:rPr>
          <w:rFonts w:ascii="Arial Narrow" w:eastAsia="Times New Roman" w:hAnsi="Arial Narrow" w:cs="Times New Roman"/>
          <w:b/>
          <w:bCs/>
          <w:color w:val="000000"/>
          <w:sz w:val="20"/>
          <w:szCs w:val="20"/>
          <w:lang w:eastAsia="es-ES"/>
        </w:rPr>
        <w:t xml:space="preserve">Ministerio de Hacienda </w:t>
      </w:r>
    </w:p>
    <w:p w:rsidR="00216233" w:rsidRPr="00216233" w:rsidRDefault="00216233" w:rsidP="00216233">
      <w:pPr>
        <w:spacing w:after="0" w:line="240" w:lineRule="auto"/>
        <w:jc w:val="center"/>
        <w:rPr>
          <w:rFonts w:ascii="Arial Narrow" w:eastAsia="Times New Roman" w:hAnsi="Arial Narrow" w:cs="Times New Roman"/>
          <w:b/>
          <w:bCs/>
          <w:color w:val="000000"/>
          <w:sz w:val="20"/>
          <w:szCs w:val="20"/>
          <w:lang w:eastAsia="es-ES"/>
        </w:rPr>
      </w:pPr>
    </w:p>
    <w:p w:rsidR="00216233" w:rsidRPr="00216233" w:rsidRDefault="00216233" w:rsidP="00216233">
      <w:pPr>
        <w:spacing w:after="0" w:line="240" w:lineRule="auto"/>
        <w:ind w:firstLine="708"/>
        <w:jc w:val="both"/>
        <w:rPr>
          <w:rFonts w:ascii="Arial Narrow" w:eastAsia="Times New Roman" w:hAnsi="Arial Narrow" w:cs="Times New Roman"/>
          <w:sz w:val="20"/>
          <w:szCs w:val="20"/>
          <w:lang w:eastAsia="es-ES"/>
        </w:rPr>
      </w:pPr>
      <w:r w:rsidRPr="00216233">
        <w:rPr>
          <w:rFonts w:ascii="Arial Narrow" w:eastAsia="Times New Roman" w:hAnsi="Arial Narrow" w:cs="Times New Roman"/>
          <w:b/>
          <w:bCs/>
          <w:color w:val="000000"/>
          <w:sz w:val="20"/>
          <w:szCs w:val="20"/>
          <w:lang w:eastAsia="es-ES"/>
        </w:rPr>
        <w:t xml:space="preserve">Resumen ejecutivo: </w:t>
      </w:r>
      <w:r w:rsidRPr="00216233">
        <w:rPr>
          <w:rFonts w:ascii="Arial Narrow" w:eastAsia="Times New Roman" w:hAnsi="Arial Narrow" w:cs="Times New Roman"/>
          <w:color w:val="000000"/>
          <w:sz w:val="20"/>
          <w:szCs w:val="20"/>
          <w:lang w:eastAsia="es-ES"/>
        </w:rPr>
        <w:t xml:space="preserve">De acuerdo con el artículo 3 inciso ch) de la Ley del Impuesto General sobre las Ventas, en adelante, LIGSV, y con el artículo 3 inciso d) del Reglamento de la Ley del Impuesto Sobre las Ventas (en adelante, RLIGSV), el hecho generador del impuesto sobre las ventas de las mercancías gravadas, también se perfecciona cuando se produce el autoconsumo y cuando se detectan faltantes de mercancías gravadas. No obstante, en el caso de que tales faltantes puedan ser justificados satisfactoriamente, a juicio de la Administración Tributaria, a través de documentos fidedignos y válidos, los mismos no se considerarán como </w:t>
      </w:r>
      <w:proofErr w:type="spellStart"/>
      <w:r w:rsidRPr="00216233">
        <w:rPr>
          <w:rFonts w:ascii="Arial Narrow" w:eastAsia="Times New Roman" w:hAnsi="Arial Narrow" w:cs="Times New Roman"/>
          <w:color w:val="000000"/>
          <w:sz w:val="20"/>
          <w:szCs w:val="20"/>
          <w:lang w:eastAsia="es-ES"/>
        </w:rPr>
        <w:t>autoconsumidos</w:t>
      </w:r>
      <w:proofErr w:type="spellEnd"/>
      <w:r w:rsidRPr="00216233">
        <w:rPr>
          <w:rFonts w:ascii="Arial Narrow" w:eastAsia="Times New Roman" w:hAnsi="Arial Narrow" w:cs="Times New Roman"/>
          <w:color w:val="000000"/>
          <w:sz w:val="20"/>
          <w:szCs w:val="20"/>
          <w:lang w:eastAsia="es-ES"/>
        </w:rPr>
        <w:t xml:space="preserve"> o usados por el contribuyente, y por lo tanto, no se aplicará en estos casos, lo dispuesto en el articulo 3 inciso ch) de LIGSV referente al autoconsumo. Sobre tal cuestión versa este criterio. </w:t>
      </w:r>
    </w:p>
    <w:p w:rsidR="00216233" w:rsidRPr="00216233" w:rsidRDefault="00216233" w:rsidP="00216233">
      <w:pPr>
        <w:tabs>
          <w:tab w:val="left" w:pos="0"/>
        </w:tabs>
        <w:spacing w:after="0" w:line="240" w:lineRule="auto"/>
        <w:jc w:val="both"/>
        <w:rPr>
          <w:rFonts w:ascii="Arial Narrow" w:eastAsia="Times New Roman" w:hAnsi="Arial Narrow" w:cs="Times New Roman"/>
          <w:color w:val="000000"/>
          <w:sz w:val="20"/>
          <w:szCs w:val="20"/>
          <w:lang w:eastAsia="es-ES"/>
        </w:rPr>
      </w:pPr>
    </w:p>
    <w:p w:rsidR="00216233" w:rsidRPr="00216233" w:rsidRDefault="00216233" w:rsidP="00216233">
      <w:pPr>
        <w:spacing w:after="0" w:line="240" w:lineRule="auto"/>
        <w:ind w:firstLine="708"/>
        <w:jc w:val="both"/>
        <w:rPr>
          <w:rFonts w:ascii="Arial Narrow" w:eastAsia="Times New Roman" w:hAnsi="Arial Narrow" w:cs="Times New Roman"/>
          <w:color w:val="000000"/>
          <w:sz w:val="20"/>
          <w:szCs w:val="20"/>
          <w:lang w:eastAsia="es-ES"/>
        </w:rPr>
      </w:pPr>
      <w:r w:rsidRPr="00216233">
        <w:rPr>
          <w:rFonts w:ascii="Arial Narrow" w:eastAsia="Times New Roman" w:hAnsi="Arial Narrow" w:cs="Times New Roman"/>
          <w:b/>
          <w:bCs/>
          <w:color w:val="000000"/>
          <w:sz w:val="20"/>
          <w:szCs w:val="20"/>
          <w:lang w:eastAsia="es-ES"/>
        </w:rPr>
        <w:t>Normas de referencia</w:t>
      </w:r>
      <w:r w:rsidRPr="00216233">
        <w:rPr>
          <w:rFonts w:ascii="Arial Narrow" w:eastAsia="Times New Roman" w:hAnsi="Arial Narrow" w:cs="Times New Roman"/>
          <w:bCs/>
          <w:color w:val="000000"/>
          <w:sz w:val="20"/>
          <w:szCs w:val="20"/>
          <w:lang w:eastAsia="es-ES"/>
        </w:rPr>
        <w:t>: Artículo 11 de la Constitución Política; artículos 11 y 13 de la Ley General de la Administración Pública; a</w:t>
      </w:r>
      <w:r w:rsidRPr="00216233">
        <w:rPr>
          <w:rFonts w:ascii="Arial Narrow" w:eastAsia="Times New Roman" w:hAnsi="Arial Narrow" w:cs="Times New Roman"/>
          <w:color w:val="000000"/>
          <w:sz w:val="20"/>
          <w:szCs w:val="20"/>
          <w:lang w:eastAsia="es-ES"/>
        </w:rPr>
        <w:t>rtículo 3 inciso ch) de la Ley del Impuesto General sobre las Ventas; artículo 3 inciso d) del Reglamento de la Ley del Impuesto General sobre las Ventas y artículos 5 y 6 del Código de Normas y Procedimientos Tributarios.</w:t>
      </w:r>
    </w:p>
    <w:p w:rsidR="00216233" w:rsidRPr="00216233" w:rsidRDefault="00216233" w:rsidP="00216233">
      <w:pPr>
        <w:spacing w:after="0" w:line="240" w:lineRule="auto"/>
        <w:jc w:val="center"/>
        <w:rPr>
          <w:rFonts w:ascii="Arial Narrow" w:eastAsia="Times New Roman" w:hAnsi="Arial Narrow" w:cs="Times New Roman"/>
          <w:b/>
          <w:bCs/>
          <w:color w:val="000000"/>
          <w:sz w:val="20"/>
          <w:szCs w:val="20"/>
          <w:lang w:eastAsia="es-ES"/>
        </w:rPr>
      </w:pPr>
    </w:p>
    <w:p w:rsidR="00216233" w:rsidRPr="00216233" w:rsidRDefault="00216233" w:rsidP="00216233">
      <w:pPr>
        <w:spacing w:after="0" w:line="240" w:lineRule="auto"/>
        <w:jc w:val="center"/>
        <w:rPr>
          <w:rFonts w:ascii="Arial Narrow" w:eastAsia="Times New Roman" w:hAnsi="Arial Narrow" w:cs="Times New Roman"/>
          <w:b/>
          <w:bCs/>
          <w:color w:val="000000"/>
          <w:sz w:val="20"/>
          <w:szCs w:val="20"/>
          <w:lang w:eastAsia="es-ES"/>
        </w:rPr>
      </w:pPr>
    </w:p>
    <w:p w:rsidR="00216233" w:rsidRPr="00216233" w:rsidRDefault="00216233" w:rsidP="00216233">
      <w:pPr>
        <w:spacing w:after="0" w:line="240" w:lineRule="auto"/>
        <w:jc w:val="center"/>
        <w:rPr>
          <w:rFonts w:ascii="Arial Narrow" w:eastAsia="Times New Roman" w:hAnsi="Arial Narrow" w:cs="Times New Roman"/>
          <w:b/>
          <w:bCs/>
          <w:color w:val="000000"/>
          <w:sz w:val="20"/>
          <w:szCs w:val="20"/>
          <w:lang w:eastAsia="es-ES"/>
        </w:rPr>
      </w:pPr>
      <w:r w:rsidRPr="00216233">
        <w:rPr>
          <w:rFonts w:ascii="Arial Narrow" w:eastAsia="Times New Roman" w:hAnsi="Arial Narrow" w:cs="Times New Roman"/>
          <w:b/>
          <w:bCs/>
          <w:color w:val="000000"/>
          <w:sz w:val="20"/>
          <w:szCs w:val="20"/>
          <w:lang w:eastAsia="es-ES"/>
        </w:rPr>
        <w:t>Criterio Institucional No.  DGT-CI-07-2011 del 7 de marzo de 2011</w:t>
      </w:r>
    </w:p>
    <w:p w:rsidR="00216233" w:rsidRPr="00216233" w:rsidRDefault="00216233" w:rsidP="00216233">
      <w:pPr>
        <w:spacing w:after="0" w:line="240" w:lineRule="auto"/>
        <w:rPr>
          <w:rFonts w:ascii="Arial Narrow" w:eastAsia="Times New Roman" w:hAnsi="Arial Narrow" w:cs="Times New Roman"/>
          <w:sz w:val="20"/>
          <w:szCs w:val="20"/>
          <w:lang w:eastAsia="es-ES"/>
        </w:rPr>
      </w:pPr>
    </w:p>
    <w:p w:rsidR="00216233" w:rsidRPr="00216233" w:rsidRDefault="00216233" w:rsidP="00216233">
      <w:pPr>
        <w:spacing w:after="0" w:line="240" w:lineRule="auto"/>
        <w:ind w:firstLine="480"/>
        <w:jc w:val="both"/>
        <w:rPr>
          <w:rFonts w:ascii="Arial Narrow" w:eastAsia="Times New Roman" w:hAnsi="Arial Narrow" w:cs="Times New Roman"/>
          <w:color w:val="000000"/>
          <w:sz w:val="20"/>
          <w:szCs w:val="20"/>
          <w:lang w:eastAsia="es-ES"/>
        </w:rPr>
      </w:pPr>
      <w:r w:rsidRPr="00216233">
        <w:rPr>
          <w:rFonts w:ascii="Arial Narrow" w:eastAsia="Times New Roman" w:hAnsi="Arial Narrow" w:cs="Times New Roman"/>
          <w:color w:val="000000"/>
          <w:sz w:val="20"/>
          <w:szCs w:val="20"/>
          <w:lang w:eastAsia="es-ES"/>
        </w:rPr>
        <w:t>1º—Que los artículos 99 y 103 inciso e) de la Ley N° 4755 de 3 de mayo de 1971, Código de Normas y Procedimientos Tributarios, en adelante, Código Tributario, facultan a la Administración Tributaria para verificar el correcto cumplimiento de las obligaciones tributarias, por todos los medios y procedimientos legales, permitiendo la interpretación administrativa de las disposiciones contenidas en dicho cuerpo legal.</w:t>
      </w:r>
    </w:p>
    <w:p w:rsidR="00216233" w:rsidRPr="00216233" w:rsidRDefault="00216233" w:rsidP="00216233">
      <w:pPr>
        <w:spacing w:after="0" w:line="240" w:lineRule="auto"/>
        <w:ind w:firstLine="480"/>
        <w:jc w:val="both"/>
        <w:rPr>
          <w:rFonts w:ascii="Arial Narrow" w:eastAsia="Times New Roman" w:hAnsi="Arial Narrow" w:cs="Times New Roman"/>
          <w:color w:val="000000"/>
          <w:sz w:val="20"/>
          <w:szCs w:val="20"/>
          <w:lang w:eastAsia="es-ES"/>
        </w:rPr>
      </w:pPr>
    </w:p>
    <w:p w:rsidR="00216233" w:rsidRPr="00216233" w:rsidRDefault="00216233" w:rsidP="00216233">
      <w:pPr>
        <w:spacing w:after="0" w:line="240" w:lineRule="auto"/>
        <w:ind w:firstLine="480"/>
        <w:jc w:val="both"/>
        <w:rPr>
          <w:rFonts w:ascii="Arial Narrow" w:eastAsia="Times New Roman" w:hAnsi="Arial Narrow" w:cs="Times New Roman"/>
          <w:color w:val="000000"/>
          <w:sz w:val="20"/>
          <w:szCs w:val="20"/>
          <w:lang w:eastAsia="es-ES"/>
        </w:rPr>
      </w:pPr>
      <w:r w:rsidRPr="00216233">
        <w:rPr>
          <w:rFonts w:ascii="Arial Narrow" w:eastAsia="Times New Roman" w:hAnsi="Arial Narrow" w:cs="Times New Roman"/>
          <w:color w:val="000000"/>
          <w:sz w:val="20"/>
          <w:szCs w:val="20"/>
          <w:lang w:eastAsia="es-ES"/>
        </w:rPr>
        <w:t>2°—Que el artículo 1 de la Resolución N° DGT- R-003-2011 de 4 de febrero de 2011, publicada en La Gaceta N° 43 de 2 de marzo de 2011, establece que la Dirección General de Tributación debe publicar los criterios institucionales de mayor relevancia en materia tributaria.</w:t>
      </w:r>
    </w:p>
    <w:p w:rsidR="00216233" w:rsidRPr="00216233" w:rsidRDefault="00216233" w:rsidP="00216233">
      <w:pPr>
        <w:spacing w:after="0" w:line="240" w:lineRule="auto"/>
        <w:jc w:val="both"/>
        <w:rPr>
          <w:rFonts w:ascii="Arial Narrow" w:eastAsia="Times New Roman" w:hAnsi="Arial Narrow" w:cs="Times New Roman"/>
          <w:color w:val="000000"/>
          <w:sz w:val="20"/>
          <w:szCs w:val="20"/>
          <w:lang w:eastAsia="es-ES"/>
        </w:rPr>
      </w:pPr>
      <w:r w:rsidRPr="00216233">
        <w:rPr>
          <w:rFonts w:ascii="Arial Narrow" w:eastAsia="Times New Roman" w:hAnsi="Arial Narrow" w:cs="Times New Roman"/>
          <w:color w:val="000000"/>
          <w:sz w:val="20"/>
          <w:szCs w:val="20"/>
          <w:lang w:eastAsia="es-ES"/>
        </w:rPr>
        <w:t> </w:t>
      </w:r>
    </w:p>
    <w:p w:rsidR="00216233" w:rsidRPr="00216233" w:rsidRDefault="00216233" w:rsidP="00216233">
      <w:pPr>
        <w:spacing w:after="0" w:line="240" w:lineRule="auto"/>
        <w:ind w:firstLine="480"/>
        <w:jc w:val="center"/>
        <w:rPr>
          <w:rFonts w:ascii="Arial Narrow" w:eastAsia="Times New Roman" w:hAnsi="Arial Narrow" w:cs="Times New Roman"/>
          <w:b/>
          <w:color w:val="000000"/>
          <w:sz w:val="20"/>
          <w:szCs w:val="20"/>
          <w:lang w:eastAsia="es-ES"/>
        </w:rPr>
      </w:pPr>
      <w:r w:rsidRPr="00216233">
        <w:rPr>
          <w:rFonts w:ascii="Arial Narrow" w:eastAsia="Times New Roman" w:hAnsi="Arial Narrow" w:cs="Times New Roman"/>
          <w:b/>
          <w:color w:val="000000"/>
          <w:sz w:val="20"/>
          <w:szCs w:val="20"/>
          <w:lang w:eastAsia="es-ES"/>
        </w:rPr>
        <w:t>Antecedentes</w:t>
      </w:r>
    </w:p>
    <w:p w:rsidR="00216233" w:rsidRPr="00216233" w:rsidRDefault="00216233" w:rsidP="00216233">
      <w:pPr>
        <w:spacing w:after="0" w:line="240" w:lineRule="auto"/>
        <w:ind w:firstLine="480"/>
        <w:jc w:val="center"/>
        <w:rPr>
          <w:rFonts w:ascii="Arial Narrow" w:eastAsia="Times New Roman" w:hAnsi="Arial Narrow" w:cs="Times New Roman"/>
          <w:b/>
          <w:color w:val="000000"/>
          <w:sz w:val="20"/>
          <w:szCs w:val="20"/>
          <w:lang w:eastAsia="es-ES"/>
        </w:rPr>
      </w:pPr>
    </w:p>
    <w:p w:rsidR="00216233" w:rsidRPr="00216233" w:rsidRDefault="00216233" w:rsidP="00216233">
      <w:pPr>
        <w:tabs>
          <w:tab w:val="left" w:pos="0"/>
        </w:tabs>
        <w:spacing w:after="0" w:line="240" w:lineRule="auto"/>
        <w:jc w:val="both"/>
        <w:rPr>
          <w:rFonts w:ascii="Arial Narrow" w:eastAsia="Times New Roman" w:hAnsi="Arial Narrow" w:cs="Times New Roman"/>
          <w:color w:val="000000"/>
          <w:sz w:val="20"/>
          <w:szCs w:val="20"/>
          <w:lang w:eastAsia="es-ES"/>
        </w:rPr>
      </w:pPr>
      <w:r w:rsidRPr="00216233">
        <w:rPr>
          <w:rFonts w:ascii="Arial Narrow" w:eastAsia="Times New Roman" w:hAnsi="Arial Narrow" w:cs="Times New Roman"/>
          <w:color w:val="000000"/>
          <w:sz w:val="20"/>
          <w:szCs w:val="20"/>
          <w:lang w:eastAsia="es-ES"/>
        </w:rPr>
        <w:tab/>
        <w:t>El artículo 3 inciso d) del RLIGSV, dispone que el hecho generador del impuesto sobre las ventas de las mercancías gravadas, se perfecciona cuando se detecten faltantes de mercancías gravadas, establecidas con motivo de toma de inventarios. Dicho faltante puede ser determinado por el contribuyente o por la Administración Tributaria.</w:t>
      </w:r>
    </w:p>
    <w:p w:rsidR="00216233" w:rsidRPr="00216233" w:rsidRDefault="00216233" w:rsidP="00216233">
      <w:pPr>
        <w:tabs>
          <w:tab w:val="left" w:pos="0"/>
        </w:tabs>
        <w:spacing w:after="0" w:line="240" w:lineRule="auto"/>
        <w:jc w:val="both"/>
        <w:rPr>
          <w:rFonts w:ascii="Arial Narrow" w:eastAsia="Times New Roman" w:hAnsi="Arial Narrow" w:cs="Times New Roman"/>
          <w:color w:val="000000"/>
          <w:sz w:val="20"/>
          <w:szCs w:val="20"/>
          <w:lang w:eastAsia="es-ES"/>
        </w:rPr>
      </w:pPr>
    </w:p>
    <w:p w:rsidR="00216233" w:rsidRPr="00216233" w:rsidRDefault="00216233" w:rsidP="00216233">
      <w:pPr>
        <w:tabs>
          <w:tab w:val="left" w:pos="0"/>
        </w:tabs>
        <w:spacing w:after="0" w:line="240" w:lineRule="auto"/>
        <w:jc w:val="both"/>
        <w:rPr>
          <w:rFonts w:ascii="Arial Narrow" w:eastAsia="Times New Roman" w:hAnsi="Arial Narrow" w:cs="Times New Roman"/>
          <w:color w:val="000000"/>
          <w:sz w:val="20"/>
          <w:szCs w:val="20"/>
          <w:lang w:eastAsia="es-ES"/>
        </w:rPr>
      </w:pPr>
      <w:r w:rsidRPr="00216233">
        <w:rPr>
          <w:rFonts w:ascii="Arial Narrow" w:eastAsia="Times New Roman" w:hAnsi="Arial Narrow" w:cs="Times New Roman"/>
          <w:color w:val="000000"/>
          <w:sz w:val="20"/>
          <w:szCs w:val="20"/>
          <w:lang w:eastAsia="es-ES"/>
        </w:rPr>
        <w:tab/>
        <w:t xml:space="preserve">Asimismo, en el inciso ch) del artículo 3 de la LIGSV, se establece que en el caso del autoconsumo, el hecho generador de tal tributo se perfecciona cuando las mercancías se usen o consuman por parte de los contribuyentes, específicamente en la fecha en que aquellas se retiren de la empresa. </w:t>
      </w:r>
    </w:p>
    <w:p w:rsidR="00216233" w:rsidRPr="00216233" w:rsidRDefault="00216233" w:rsidP="00216233">
      <w:pPr>
        <w:tabs>
          <w:tab w:val="left" w:pos="0"/>
        </w:tabs>
        <w:spacing w:after="0" w:line="240" w:lineRule="auto"/>
        <w:jc w:val="both"/>
        <w:rPr>
          <w:rFonts w:ascii="Arial Narrow" w:eastAsia="Times New Roman" w:hAnsi="Arial Narrow" w:cs="Times New Roman"/>
          <w:color w:val="000000"/>
          <w:sz w:val="20"/>
          <w:szCs w:val="20"/>
          <w:lang w:eastAsia="es-ES"/>
        </w:rPr>
      </w:pPr>
    </w:p>
    <w:p w:rsidR="00216233" w:rsidRPr="00216233" w:rsidRDefault="00216233" w:rsidP="00216233">
      <w:pPr>
        <w:tabs>
          <w:tab w:val="left" w:pos="0"/>
        </w:tabs>
        <w:spacing w:after="0" w:line="240" w:lineRule="auto"/>
        <w:jc w:val="both"/>
        <w:rPr>
          <w:rFonts w:ascii="Arial Narrow" w:eastAsia="Times New Roman" w:hAnsi="Arial Narrow" w:cs="Times New Roman"/>
          <w:color w:val="000000"/>
          <w:sz w:val="20"/>
          <w:szCs w:val="20"/>
          <w:lang w:eastAsia="es-ES"/>
        </w:rPr>
      </w:pPr>
      <w:r w:rsidRPr="00216233">
        <w:rPr>
          <w:rFonts w:ascii="Arial Narrow" w:eastAsia="Times New Roman" w:hAnsi="Arial Narrow" w:cs="Times New Roman"/>
          <w:color w:val="000000"/>
          <w:sz w:val="20"/>
          <w:szCs w:val="20"/>
          <w:lang w:eastAsia="es-ES"/>
        </w:rPr>
        <w:tab/>
        <w:t>Por ello es importante determinar, el tratamiento de los faltantes de mercancías en las tomas físicas, que sean producto de robos, hurtos o destrucciones, en los casos en que los contribuyentes puedan justificar a satisfacción de la Administración, tal situación.</w:t>
      </w:r>
    </w:p>
    <w:p w:rsidR="00216233" w:rsidRPr="00216233" w:rsidRDefault="00216233" w:rsidP="00216233">
      <w:pPr>
        <w:tabs>
          <w:tab w:val="left" w:pos="0"/>
        </w:tabs>
        <w:spacing w:after="0" w:line="240" w:lineRule="auto"/>
        <w:jc w:val="both"/>
        <w:rPr>
          <w:rFonts w:ascii="Arial Narrow" w:eastAsia="Times New Roman" w:hAnsi="Arial Narrow" w:cs="Times New Roman"/>
          <w:color w:val="000000"/>
          <w:sz w:val="20"/>
          <w:szCs w:val="20"/>
          <w:lang w:eastAsia="es-ES"/>
        </w:rPr>
      </w:pPr>
    </w:p>
    <w:p w:rsidR="00216233" w:rsidRPr="00216233" w:rsidRDefault="00216233" w:rsidP="00216233">
      <w:pPr>
        <w:tabs>
          <w:tab w:val="left" w:pos="0"/>
        </w:tabs>
        <w:spacing w:after="0" w:line="240" w:lineRule="auto"/>
        <w:jc w:val="both"/>
        <w:rPr>
          <w:rFonts w:ascii="Arial Narrow" w:eastAsia="Times New Roman" w:hAnsi="Arial Narrow" w:cs="Times New Roman"/>
          <w:sz w:val="20"/>
          <w:szCs w:val="20"/>
          <w:lang w:eastAsia="es-ES"/>
        </w:rPr>
      </w:pPr>
      <w:r w:rsidRPr="00216233">
        <w:rPr>
          <w:rFonts w:ascii="Arial Narrow" w:eastAsia="Times New Roman" w:hAnsi="Arial Narrow" w:cs="Times New Roman"/>
          <w:sz w:val="20"/>
          <w:szCs w:val="20"/>
          <w:lang w:eastAsia="es-ES"/>
        </w:rPr>
        <w:tab/>
        <w:t>En este sentido, la Dirección General de Tributación se ha manifestado sobre este tema, por ejemplo mediante el Auto Administrativo Nº AU-01-V-12-10 de fecha 16 de febrero del 2010, se reconoce que los créditos fiscales sobre esos faltantes de mercancías justificados, deben conservarse, siempre y cuando estos faltantes correspondan a robo, hurto o destrucción, situación que debe ser demostrada por el contribuyente con documentos fehacientes. Lo anterior, debido a que en estos casos el empresario no es el consumidor final.</w:t>
      </w:r>
    </w:p>
    <w:p w:rsidR="00216233" w:rsidRPr="00216233" w:rsidRDefault="00216233" w:rsidP="00216233">
      <w:pPr>
        <w:tabs>
          <w:tab w:val="left" w:pos="0"/>
        </w:tabs>
        <w:spacing w:after="0" w:line="240" w:lineRule="auto"/>
        <w:jc w:val="both"/>
        <w:rPr>
          <w:rFonts w:ascii="Arial Narrow" w:eastAsia="Times New Roman" w:hAnsi="Arial Narrow" w:cs="Times New Roman"/>
          <w:sz w:val="20"/>
          <w:szCs w:val="20"/>
          <w:lang w:eastAsia="es-ES"/>
        </w:rPr>
      </w:pPr>
    </w:p>
    <w:p w:rsidR="00216233" w:rsidRPr="00216233" w:rsidRDefault="00216233" w:rsidP="00216233">
      <w:pPr>
        <w:tabs>
          <w:tab w:val="left" w:pos="0"/>
        </w:tabs>
        <w:spacing w:after="0" w:line="240" w:lineRule="auto"/>
        <w:jc w:val="both"/>
        <w:rPr>
          <w:rFonts w:ascii="Arial Narrow" w:eastAsia="Times New Roman" w:hAnsi="Arial Narrow" w:cs="Times New Roman"/>
          <w:sz w:val="20"/>
          <w:szCs w:val="20"/>
          <w:lang w:eastAsia="es-ES"/>
        </w:rPr>
      </w:pPr>
      <w:r w:rsidRPr="00216233">
        <w:rPr>
          <w:rFonts w:ascii="Arial Narrow" w:eastAsia="Times New Roman" w:hAnsi="Arial Narrow" w:cs="Times New Roman"/>
          <w:sz w:val="20"/>
          <w:szCs w:val="20"/>
          <w:lang w:eastAsia="es-ES"/>
        </w:rPr>
        <w:tab/>
        <w:t xml:space="preserve">Asimismo, el oficio DGT-235-2010 de fecha 11 de marzo de 2010 </w:t>
      </w:r>
      <w:r w:rsidRPr="00216233">
        <w:rPr>
          <w:rFonts w:ascii="Arial Narrow" w:eastAsia="Times New Roman" w:hAnsi="Arial Narrow" w:cs="Times New Roman"/>
          <w:sz w:val="20"/>
          <w:szCs w:val="20"/>
          <w:vertAlign w:val="superscript"/>
          <w:lang w:eastAsia="es-ES"/>
        </w:rPr>
        <w:footnoteReference w:id="1"/>
      </w:r>
      <w:r w:rsidRPr="00216233">
        <w:rPr>
          <w:rFonts w:ascii="Arial Narrow" w:eastAsia="Times New Roman" w:hAnsi="Arial Narrow" w:cs="Times New Roman"/>
          <w:sz w:val="20"/>
          <w:szCs w:val="20"/>
          <w:vertAlign w:val="superscript"/>
          <w:lang w:eastAsia="es-ES"/>
        </w:rPr>
        <w:t>[1]</w:t>
      </w:r>
      <w:r w:rsidRPr="00216233">
        <w:rPr>
          <w:rFonts w:ascii="Arial Narrow" w:eastAsia="Times New Roman" w:hAnsi="Arial Narrow" w:cs="Times New Roman"/>
          <w:sz w:val="20"/>
          <w:szCs w:val="20"/>
          <w:lang w:eastAsia="es-ES"/>
        </w:rPr>
        <w:t>, emitido por la Dirección General está en armonía con el criterio previamente externado. En ese Oficio se agrega que si no existen pruebas que demuestren el origen del faltante, se presume que la mercadería fue vendida y por lo tanto se da el hecho generador del impuesto.</w:t>
      </w:r>
    </w:p>
    <w:p w:rsidR="00216233" w:rsidRPr="00216233" w:rsidRDefault="00216233" w:rsidP="00216233">
      <w:pPr>
        <w:tabs>
          <w:tab w:val="left" w:pos="0"/>
        </w:tabs>
        <w:spacing w:after="0" w:line="240" w:lineRule="auto"/>
        <w:jc w:val="both"/>
        <w:rPr>
          <w:rFonts w:ascii="Arial Narrow" w:eastAsia="Times New Roman" w:hAnsi="Arial Narrow" w:cs="Times New Roman"/>
          <w:color w:val="000000"/>
          <w:sz w:val="20"/>
          <w:szCs w:val="20"/>
          <w:lang w:eastAsia="es-ES"/>
        </w:rPr>
      </w:pPr>
    </w:p>
    <w:p w:rsidR="00216233" w:rsidRPr="00216233" w:rsidRDefault="00216233" w:rsidP="00216233">
      <w:pPr>
        <w:spacing w:after="0" w:line="240" w:lineRule="auto"/>
        <w:ind w:firstLine="482"/>
        <w:jc w:val="both"/>
        <w:rPr>
          <w:rFonts w:ascii="Arial Narrow" w:eastAsia="Times New Roman" w:hAnsi="Arial Narrow" w:cs="Times New Roman"/>
          <w:sz w:val="20"/>
          <w:szCs w:val="20"/>
          <w:lang w:eastAsia="es-ES"/>
        </w:rPr>
      </w:pPr>
      <w:r w:rsidRPr="00216233">
        <w:rPr>
          <w:rFonts w:ascii="Arial Narrow" w:eastAsia="Times New Roman" w:hAnsi="Arial Narrow" w:cs="Times New Roman"/>
          <w:sz w:val="20"/>
          <w:szCs w:val="20"/>
          <w:lang w:eastAsia="es-ES"/>
        </w:rPr>
        <w:t>Tomando en consideración los hechos expuestos y las normas citadas, la Dirección General de Tributación, divulga el siguiente:</w:t>
      </w:r>
    </w:p>
    <w:p w:rsidR="00216233" w:rsidRPr="00216233" w:rsidRDefault="00216233" w:rsidP="00216233">
      <w:pPr>
        <w:spacing w:after="0" w:line="240" w:lineRule="auto"/>
        <w:ind w:firstLine="482"/>
        <w:jc w:val="both"/>
        <w:rPr>
          <w:rFonts w:ascii="Arial Narrow" w:eastAsia="Times New Roman" w:hAnsi="Arial Narrow" w:cs="Times New Roman"/>
          <w:sz w:val="20"/>
          <w:szCs w:val="20"/>
          <w:lang w:eastAsia="es-ES"/>
        </w:rPr>
      </w:pPr>
    </w:p>
    <w:p w:rsidR="00216233" w:rsidRPr="00216233" w:rsidRDefault="00216233" w:rsidP="00216233">
      <w:pPr>
        <w:spacing w:after="0" w:line="240" w:lineRule="auto"/>
        <w:ind w:firstLine="482"/>
        <w:jc w:val="both"/>
        <w:rPr>
          <w:rFonts w:ascii="Arial Narrow" w:eastAsia="Times New Roman" w:hAnsi="Arial Narrow" w:cs="Times New Roman"/>
          <w:sz w:val="20"/>
          <w:szCs w:val="20"/>
          <w:lang w:eastAsia="es-ES"/>
        </w:rPr>
      </w:pPr>
    </w:p>
    <w:p w:rsidR="00216233" w:rsidRPr="00216233" w:rsidRDefault="00216233" w:rsidP="00216233">
      <w:pPr>
        <w:spacing w:after="0" w:line="240" w:lineRule="auto"/>
        <w:jc w:val="center"/>
        <w:rPr>
          <w:rFonts w:ascii="Arial Narrow" w:eastAsia="Times New Roman" w:hAnsi="Arial Narrow" w:cs="Times New Roman"/>
          <w:b/>
          <w:bCs/>
          <w:color w:val="000000"/>
          <w:sz w:val="20"/>
          <w:szCs w:val="20"/>
          <w:lang w:eastAsia="es-ES"/>
        </w:rPr>
      </w:pPr>
      <w:r w:rsidRPr="00216233">
        <w:rPr>
          <w:rFonts w:ascii="Arial Narrow" w:eastAsia="Times New Roman" w:hAnsi="Arial Narrow" w:cs="Times New Roman"/>
          <w:b/>
          <w:sz w:val="20"/>
          <w:szCs w:val="20"/>
          <w:lang w:eastAsia="es-ES"/>
        </w:rPr>
        <w:t>Criterio Institucional sobre el hecho generador del impuesto de ventas en relación con los bienes destruidos, hurtados o robados dispuestos para la venta.</w:t>
      </w:r>
    </w:p>
    <w:p w:rsidR="00216233" w:rsidRPr="00216233" w:rsidRDefault="00216233" w:rsidP="00216233">
      <w:pPr>
        <w:spacing w:after="0" w:line="240" w:lineRule="auto"/>
        <w:ind w:firstLine="482"/>
        <w:jc w:val="both"/>
        <w:rPr>
          <w:rFonts w:ascii="Arial Narrow" w:eastAsia="Times New Roman" w:hAnsi="Arial Narrow" w:cs="Times New Roman"/>
          <w:sz w:val="20"/>
          <w:szCs w:val="20"/>
          <w:lang w:eastAsia="es-ES"/>
        </w:rPr>
      </w:pPr>
    </w:p>
    <w:p w:rsidR="00216233" w:rsidRPr="00216233" w:rsidRDefault="00216233" w:rsidP="00216233">
      <w:pPr>
        <w:spacing w:after="0" w:line="240" w:lineRule="auto"/>
        <w:ind w:firstLine="482"/>
        <w:jc w:val="both"/>
        <w:rPr>
          <w:rFonts w:ascii="Arial Narrow" w:eastAsia="Times New Roman" w:hAnsi="Arial Narrow" w:cs="Times New Roman"/>
          <w:sz w:val="20"/>
          <w:szCs w:val="20"/>
          <w:lang w:eastAsia="es-ES"/>
        </w:rPr>
      </w:pPr>
    </w:p>
    <w:p w:rsidR="00216233" w:rsidRPr="00216233" w:rsidRDefault="00216233" w:rsidP="00216233">
      <w:pPr>
        <w:tabs>
          <w:tab w:val="left" w:pos="0"/>
        </w:tabs>
        <w:spacing w:after="0" w:line="240" w:lineRule="auto"/>
        <w:jc w:val="both"/>
        <w:rPr>
          <w:rFonts w:ascii="Arial Narrow" w:eastAsia="Times New Roman" w:hAnsi="Arial Narrow" w:cs="Times New Roman"/>
          <w:color w:val="000000"/>
          <w:sz w:val="20"/>
          <w:szCs w:val="20"/>
          <w:lang w:eastAsia="es-ES"/>
        </w:rPr>
      </w:pPr>
      <w:r w:rsidRPr="00216233">
        <w:rPr>
          <w:rFonts w:ascii="Arial Narrow" w:eastAsia="Times New Roman" w:hAnsi="Arial Narrow" w:cs="Times New Roman"/>
          <w:color w:val="000000"/>
          <w:sz w:val="20"/>
          <w:szCs w:val="20"/>
          <w:lang w:eastAsia="es-ES"/>
        </w:rPr>
        <w:tab/>
        <w:t>Cuando los faltantes de mercancías en las tomas físicas sean producto de robos, hurtos o destrucciones, y puedan ser justificados satisfactoriamente, a criterio de la Administración Tributaria, a través de documentos fidedignos y válidos, se considerarán tales faltantes como no usados ni consumidos por el contribuyente, por lo tanto, no se podría aplicar lo dispuesto en el articulo 3 inciso ch) de LIGSV referente al autoconsumo.</w:t>
      </w:r>
    </w:p>
    <w:p w:rsidR="00216233" w:rsidRPr="00216233" w:rsidRDefault="00216233" w:rsidP="00216233">
      <w:pPr>
        <w:tabs>
          <w:tab w:val="left" w:pos="0"/>
        </w:tabs>
        <w:spacing w:after="0" w:line="240" w:lineRule="auto"/>
        <w:jc w:val="both"/>
        <w:rPr>
          <w:rFonts w:ascii="Arial Narrow" w:eastAsia="Times New Roman" w:hAnsi="Arial Narrow" w:cs="Times New Roman"/>
          <w:color w:val="000000"/>
          <w:sz w:val="20"/>
          <w:szCs w:val="20"/>
          <w:lang w:eastAsia="es-ES"/>
        </w:rPr>
      </w:pPr>
    </w:p>
    <w:p w:rsidR="00216233" w:rsidRPr="00216233" w:rsidRDefault="00216233" w:rsidP="00216233">
      <w:pPr>
        <w:tabs>
          <w:tab w:val="left" w:pos="0"/>
        </w:tabs>
        <w:spacing w:after="0" w:line="240" w:lineRule="auto"/>
        <w:jc w:val="both"/>
        <w:rPr>
          <w:rFonts w:ascii="Arial Narrow" w:eastAsia="Times New Roman" w:hAnsi="Arial Narrow" w:cs="Times New Roman"/>
          <w:color w:val="000000"/>
          <w:sz w:val="20"/>
          <w:szCs w:val="20"/>
          <w:lang w:eastAsia="es-ES"/>
        </w:rPr>
      </w:pPr>
      <w:r w:rsidRPr="00216233">
        <w:rPr>
          <w:rFonts w:ascii="Arial Narrow" w:eastAsia="Times New Roman" w:hAnsi="Arial Narrow" w:cs="Times New Roman"/>
          <w:color w:val="000000"/>
          <w:sz w:val="20"/>
          <w:szCs w:val="20"/>
          <w:lang w:eastAsia="es-ES"/>
        </w:rPr>
        <w:lastRenderedPageBreak/>
        <w:tab/>
        <w:t>En este punto, se debe de poner especial atención en el hecho de que tal mercancía es gravada, y que en el momento de adquirirla se generó un crédito fiscal.</w:t>
      </w:r>
    </w:p>
    <w:p w:rsidR="00216233" w:rsidRPr="00216233" w:rsidRDefault="00216233" w:rsidP="00216233">
      <w:pPr>
        <w:tabs>
          <w:tab w:val="left" w:pos="0"/>
        </w:tabs>
        <w:spacing w:after="0" w:line="240" w:lineRule="auto"/>
        <w:jc w:val="both"/>
        <w:rPr>
          <w:rFonts w:ascii="Arial Narrow" w:eastAsia="Times New Roman" w:hAnsi="Arial Narrow" w:cs="Times New Roman"/>
          <w:color w:val="000000"/>
          <w:sz w:val="20"/>
          <w:szCs w:val="20"/>
          <w:lang w:eastAsia="es-ES"/>
        </w:rPr>
      </w:pPr>
    </w:p>
    <w:p w:rsidR="00216233" w:rsidRPr="00216233" w:rsidRDefault="00216233" w:rsidP="00216233">
      <w:pPr>
        <w:tabs>
          <w:tab w:val="left" w:pos="0"/>
        </w:tabs>
        <w:spacing w:after="0" w:line="240" w:lineRule="auto"/>
        <w:jc w:val="both"/>
        <w:rPr>
          <w:rFonts w:ascii="Arial Narrow" w:eastAsia="Times New Roman" w:hAnsi="Arial Narrow" w:cs="Times New Roman"/>
          <w:color w:val="000000"/>
          <w:sz w:val="20"/>
          <w:szCs w:val="20"/>
          <w:lang w:eastAsia="es-ES"/>
        </w:rPr>
      </w:pPr>
      <w:r w:rsidRPr="00216233">
        <w:rPr>
          <w:rFonts w:ascii="Arial Narrow" w:eastAsia="Times New Roman" w:hAnsi="Arial Narrow" w:cs="Times New Roman"/>
          <w:color w:val="000000"/>
          <w:sz w:val="20"/>
          <w:szCs w:val="20"/>
          <w:lang w:eastAsia="es-ES"/>
        </w:rPr>
        <w:tab/>
        <w:t>Esta Dirección es del criterio que en los casos en que exista un faltante de inventario, originado por un robo, hurto o destrucción, justificado con comprobantes fehacientes, los créditos pagados por la compra de ese producto o bien, no deben ser objeto de devolución por parte del contribuyente.</w:t>
      </w:r>
    </w:p>
    <w:p w:rsidR="00216233" w:rsidRPr="00216233" w:rsidRDefault="00216233" w:rsidP="00216233">
      <w:pPr>
        <w:tabs>
          <w:tab w:val="left" w:pos="0"/>
        </w:tabs>
        <w:spacing w:after="0" w:line="240" w:lineRule="auto"/>
        <w:jc w:val="both"/>
        <w:rPr>
          <w:rFonts w:ascii="Arial Narrow" w:eastAsia="Times New Roman" w:hAnsi="Arial Narrow" w:cs="Times New Roman"/>
          <w:color w:val="000000"/>
          <w:sz w:val="20"/>
          <w:szCs w:val="20"/>
          <w:lang w:eastAsia="es-ES"/>
        </w:rPr>
      </w:pPr>
    </w:p>
    <w:p w:rsidR="00216233" w:rsidRPr="00216233" w:rsidRDefault="00216233" w:rsidP="00216233">
      <w:pPr>
        <w:tabs>
          <w:tab w:val="left" w:pos="0"/>
        </w:tabs>
        <w:spacing w:after="0" w:line="240" w:lineRule="auto"/>
        <w:jc w:val="both"/>
        <w:rPr>
          <w:rFonts w:ascii="Arial Narrow" w:eastAsia="Times New Roman" w:hAnsi="Arial Narrow" w:cs="Times New Roman"/>
          <w:color w:val="000000"/>
          <w:sz w:val="20"/>
          <w:szCs w:val="20"/>
          <w:lang w:eastAsia="es-ES"/>
        </w:rPr>
      </w:pPr>
      <w:r w:rsidRPr="00216233">
        <w:rPr>
          <w:rFonts w:ascii="Arial Narrow" w:eastAsia="Times New Roman" w:hAnsi="Arial Narrow" w:cs="Times New Roman"/>
          <w:color w:val="000000"/>
          <w:sz w:val="20"/>
          <w:szCs w:val="20"/>
          <w:lang w:eastAsia="es-ES"/>
        </w:rPr>
        <w:tab/>
        <w:t>Es decir, los créditos declarados por la compra de mercadería gravada, que posteriormente constituyan faltantes de inventarios, por los sucesos antes indicados, se deben mantener como tales, en el período o períodos en que los mismos fueron aplicados.</w:t>
      </w:r>
    </w:p>
    <w:p w:rsidR="00216233" w:rsidRPr="00216233" w:rsidRDefault="00216233" w:rsidP="00216233">
      <w:pPr>
        <w:tabs>
          <w:tab w:val="left" w:pos="567"/>
          <w:tab w:val="left" w:pos="8789"/>
        </w:tabs>
        <w:spacing w:after="0" w:line="240" w:lineRule="auto"/>
        <w:ind w:right="51" w:hanging="28"/>
        <w:jc w:val="both"/>
        <w:rPr>
          <w:rFonts w:ascii="Arial Narrow" w:eastAsia="Times New Roman" w:hAnsi="Arial Narrow" w:cs="Times New Roman"/>
          <w:b/>
          <w:color w:val="000000"/>
          <w:sz w:val="20"/>
          <w:szCs w:val="20"/>
          <w:lang w:eastAsia="es-ES"/>
        </w:rPr>
      </w:pPr>
    </w:p>
    <w:p w:rsidR="00216233" w:rsidRPr="00216233" w:rsidRDefault="00216233" w:rsidP="00216233">
      <w:pPr>
        <w:widowControl w:val="0"/>
        <w:adjustRightInd w:val="0"/>
        <w:spacing w:after="0" w:line="240" w:lineRule="auto"/>
        <w:ind w:firstLine="567"/>
        <w:jc w:val="both"/>
        <w:rPr>
          <w:rFonts w:ascii="Arial Narrow" w:eastAsia="Times New Roman" w:hAnsi="Arial Narrow" w:cs="Times New Roman"/>
          <w:color w:val="000000"/>
          <w:sz w:val="20"/>
          <w:szCs w:val="20"/>
          <w:lang w:eastAsia="es-ES"/>
        </w:rPr>
      </w:pPr>
      <w:r w:rsidRPr="00216233">
        <w:rPr>
          <w:rFonts w:ascii="Arial Narrow" w:eastAsia="Times New Roman" w:hAnsi="Arial Narrow" w:cs="Times New Roman"/>
          <w:color w:val="000000"/>
          <w:sz w:val="20"/>
          <w:szCs w:val="20"/>
          <w:lang w:eastAsia="es-ES"/>
        </w:rPr>
        <w:t>En conclusión, en el caso de los faltantes de inventarios en tomas físicas, producto de destrucción, hurto o robo de las mercancías, se requiere disponer de los comprobantes o documentación fehaciente que demuestre que no se trata de autoconsumo, permitiéndose de esa forma  conservar el crédito fiscal.</w:t>
      </w:r>
    </w:p>
    <w:p w:rsidR="00216233" w:rsidRPr="00216233" w:rsidRDefault="00216233" w:rsidP="00216233">
      <w:pPr>
        <w:widowControl w:val="0"/>
        <w:adjustRightInd w:val="0"/>
        <w:spacing w:after="0" w:line="240" w:lineRule="auto"/>
        <w:ind w:firstLine="567"/>
        <w:jc w:val="both"/>
        <w:rPr>
          <w:rFonts w:ascii="Arial Narrow" w:eastAsia="Times New Roman" w:hAnsi="Arial Narrow" w:cs="Times New Roman"/>
          <w:color w:val="000000"/>
          <w:sz w:val="20"/>
          <w:szCs w:val="20"/>
          <w:lang w:eastAsia="es-ES"/>
        </w:rPr>
      </w:pPr>
    </w:p>
    <w:p w:rsidR="00216233" w:rsidRPr="00216233" w:rsidRDefault="00216233" w:rsidP="00216233">
      <w:pPr>
        <w:spacing w:after="0" w:line="240" w:lineRule="auto"/>
        <w:jc w:val="both"/>
        <w:rPr>
          <w:rFonts w:ascii="Arial Narrow" w:eastAsia="Times New Roman" w:hAnsi="Arial Narrow" w:cs="Times New Roman"/>
          <w:sz w:val="20"/>
          <w:szCs w:val="20"/>
          <w:lang w:eastAsia="es-ES"/>
        </w:rPr>
      </w:pPr>
      <w:r w:rsidRPr="00216233">
        <w:rPr>
          <w:rFonts w:ascii="Arial Narrow" w:eastAsia="Times New Roman" w:hAnsi="Arial Narrow" w:cs="Times New Roman"/>
          <w:b/>
          <w:color w:val="000000"/>
          <w:sz w:val="20"/>
          <w:szCs w:val="20"/>
          <w:lang w:eastAsia="es-ES"/>
        </w:rPr>
        <w:t>Vigencia.</w:t>
      </w:r>
      <w:r w:rsidRPr="00216233">
        <w:rPr>
          <w:rFonts w:ascii="Arial Narrow" w:eastAsia="Times New Roman" w:hAnsi="Arial Narrow" w:cs="Times New Roman"/>
          <w:color w:val="000000"/>
          <w:sz w:val="20"/>
          <w:szCs w:val="20"/>
          <w:lang w:eastAsia="es-ES"/>
        </w:rPr>
        <w:t xml:space="preserve"> Este criterio rige a partir del día siguiente de que sea divulgado por medio del Digesto Tributario, apartado “Unidad de Criterio”, sitio que se localiza en la página Web del Ministerio de Hacienda </w:t>
      </w:r>
      <w:r w:rsidRPr="00216233">
        <w:rPr>
          <w:rFonts w:ascii="Arial Narrow" w:eastAsia="Times New Roman" w:hAnsi="Arial Narrow" w:cs="Times New Roman"/>
          <w:sz w:val="20"/>
          <w:szCs w:val="20"/>
          <w:lang w:eastAsia="es-ES"/>
        </w:rPr>
        <w:t>(</w:t>
      </w:r>
      <w:hyperlink r:id="rId6" w:history="1">
        <w:r w:rsidRPr="00216233">
          <w:rPr>
            <w:rFonts w:ascii="Arial Narrow" w:eastAsia="Times New Roman" w:hAnsi="Arial Narrow" w:cs="Times New Roman"/>
            <w:sz w:val="20"/>
            <w:szCs w:val="20"/>
            <w:u w:val="single"/>
            <w:lang w:eastAsia="es-ES"/>
          </w:rPr>
          <w:t>www.hacienda.go.cr</w:t>
        </w:r>
      </w:hyperlink>
      <w:r w:rsidRPr="00216233">
        <w:rPr>
          <w:rFonts w:ascii="Arial Narrow" w:eastAsia="Times New Roman" w:hAnsi="Arial Narrow" w:cs="Times New Roman"/>
          <w:sz w:val="20"/>
          <w:szCs w:val="20"/>
          <w:lang w:eastAsia="es-ES"/>
        </w:rPr>
        <w:t>).</w:t>
      </w:r>
    </w:p>
    <w:p w:rsidR="00216233" w:rsidRPr="00216233" w:rsidRDefault="00216233" w:rsidP="00216233">
      <w:pPr>
        <w:spacing w:after="0" w:line="240" w:lineRule="auto"/>
        <w:jc w:val="both"/>
        <w:rPr>
          <w:rFonts w:ascii="Arial Narrow" w:eastAsia="Times New Roman" w:hAnsi="Arial Narrow" w:cs="Times New Roman"/>
          <w:color w:val="000000"/>
          <w:sz w:val="20"/>
          <w:szCs w:val="20"/>
          <w:lang w:eastAsia="es-ES"/>
        </w:rPr>
      </w:pPr>
    </w:p>
    <w:p w:rsidR="00216233" w:rsidRPr="00216233" w:rsidRDefault="00216233" w:rsidP="00216233">
      <w:pPr>
        <w:spacing w:after="0" w:line="240" w:lineRule="auto"/>
        <w:jc w:val="both"/>
        <w:rPr>
          <w:rFonts w:ascii="Arial Narrow" w:eastAsia="Times New Roman" w:hAnsi="Arial Narrow" w:cs="Times New Roman"/>
          <w:color w:val="000000"/>
          <w:sz w:val="20"/>
          <w:szCs w:val="20"/>
          <w:lang w:eastAsia="es-ES"/>
        </w:rPr>
      </w:pPr>
    </w:p>
    <w:p w:rsidR="00216233" w:rsidRPr="00216233" w:rsidRDefault="00216233" w:rsidP="00216233">
      <w:pPr>
        <w:spacing w:after="0" w:line="240" w:lineRule="auto"/>
        <w:jc w:val="both"/>
        <w:rPr>
          <w:rFonts w:ascii="Arial Narrow" w:eastAsia="Times New Roman" w:hAnsi="Arial Narrow" w:cs="Times New Roman"/>
          <w:color w:val="000000"/>
          <w:sz w:val="20"/>
          <w:szCs w:val="20"/>
          <w:lang w:eastAsia="es-ES"/>
        </w:rPr>
      </w:pPr>
    </w:p>
    <w:p w:rsidR="00216233" w:rsidRPr="00216233" w:rsidRDefault="00216233" w:rsidP="00216233">
      <w:pPr>
        <w:spacing w:after="0" w:line="240" w:lineRule="auto"/>
        <w:jc w:val="both"/>
        <w:rPr>
          <w:rFonts w:ascii="Arial Narrow" w:eastAsia="Times New Roman" w:hAnsi="Arial Narrow" w:cs="Times New Roman"/>
          <w:color w:val="000000"/>
          <w:sz w:val="20"/>
          <w:szCs w:val="20"/>
          <w:lang w:eastAsia="es-ES"/>
        </w:rPr>
      </w:pPr>
    </w:p>
    <w:p w:rsidR="00216233" w:rsidRPr="00216233" w:rsidRDefault="00216233" w:rsidP="00216233">
      <w:pPr>
        <w:spacing w:after="0" w:line="240" w:lineRule="auto"/>
        <w:jc w:val="both"/>
        <w:rPr>
          <w:rFonts w:ascii="Arial Narrow" w:eastAsia="Times New Roman" w:hAnsi="Arial Narrow" w:cs="Times New Roman"/>
          <w:color w:val="000000"/>
          <w:sz w:val="20"/>
          <w:szCs w:val="20"/>
          <w:lang w:eastAsia="es-ES"/>
        </w:rPr>
      </w:pPr>
    </w:p>
    <w:p w:rsidR="00216233" w:rsidRPr="00216233" w:rsidRDefault="00216233" w:rsidP="00216233">
      <w:pPr>
        <w:spacing w:after="0" w:line="240" w:lineRule="auto"/>
        <w:jc w:val="both"/>
        <w:rPr>
          <w:rFonts w:ascii="Arial Narrow" w:eastAsia="Times New Roman" w:hAnsi="Arial Narrow" w:cs="Times New Roman"/>
          <w:color w:val="000000"/>
          <w:sz w:val="20"/>
          <w:szCs w:val="20"/>
          <w:lang w:eastAsia="es-ES"/>
        </w:rPr>
      </w:pPr>
    </w:p>
    <w:p w:rsidR="00216233" w:rsidRPr="00216233" w:rsidRDefault="00216233" w:rsidP="00216233">
      <w:pPr>
        <w:spacing w:after="0" w:line="240" w:lineRule="auto"/>
        <w:jc w:val="both"/>
        <w:rPr>
          <w:rFonts w:ascii="Arial Narrow" w:eastAsia="Times New Roman" w:hAnsi="Arial Narrow" w:cs="Times New Roman"/>
          <w:b/>
          <w:color w:val="000000"/>
          <w:sz w:val="20"/>
          <w:szCs w:val="20"/>
          <w:lang w:eastAsia="es-ES"/>
        </w:rPr>
      </w:pPr>
    </w:p>
    <w:p w:rsidR="00216233" w:rsidRPr="00216233" w:rsidRDefault="00216233" w:rsidP="00216233">
      <w:pPr>
        <w:spacing w:after="0" w:line="240" w:lineRule="auto"/>
        <w:jc w:val="center"/>
        <w:rPr>
          <w:rFonts w:ascii="Arial Narrow" w:eastAsia="Times New Roman" w:hAnsi="Arial Narrow" w:cs="Times New Roman"/>
          <w:b/>
          <w:color w:val="000000"/>
          <w:sz w:val="20"/>
          <w:szCs w:val="20"/>
          <w:lang w:eastAsia="es-ES"/>
        </w:rPr>
      </w:pPr>
      <w:r w:rsidRPr="00216233">
        <w:rPr>
          <w:rFonts w:ascii="Arial Narrow" w:eastAsia="Times New Roman" w:hAnsi="Arial Narrow" w:cs="Times New Roman"/>
          <w:b/>
          <w:color w:val="000000"/>
          <w:sz w:val="20"/>
          <w:szCs w:val="20"/>
          <w:lang w:eastAsia="es-ES"/>
        </w:rPr>
        <w:t>Francisco Villalobos Brenes</w:t>
      </w:r>
    </w:p>
    <w:p w:rsidR="00216233" w:rsidRPr="00216233" w:rsidRDefault="00216233" w:rsidP="00216233">
      <w:pPr>
        <w:spacing w:after="0" w:line="240" w:lineRule="auto"/>
        <w:jc w:val="center"/>
        <w:rPr>
          <w:rFonts w:ascii="Arial Narrow" w:eastAsia="Times New Roman" w:hAnsi="Arial Narrow" w:cs="Times New Roman"/>
          <w:b/>
          <w:color w:val="000000"/>
          <w:sz w:val="20"/>
          <w:szCs w:val="20"/>
          <w:lang w:eastAsia="es-ES"/>
        </w:rPr>
      </w:pPr>
      <w:r w:rsidRPr="00216233">
        <w:rPr>
          <w:rFonts w:ascii="Arial Narrow" w:eastAsia="Times New Roman" w:hAnsi="Arial Narrow" w:cs="Times New Roman"/>
          <w:b/>
          <w:color w:val="000000"/>
          <w:sz w:val="20"/>
          <w:szCs w:val="20"/>
          <w:lang w:eastAsia="es-ES"/>
        </w:rPr>
        <w:t xml:space="preserve"> Director General</w:t>
      </w:r>
    </w:p>
    <w:p w:rsidR="00216233" w:rsidRPr="00216233" w:rsidRDefault="00216233" w:rsidP="00216233">
      <w:pPr>
        <w:spacing w:after="0" w:line="240" w:lineRule="auto"/>
        <w:rPr>
          <w:rFonts w:ascii="Arial Narrow" w:eastAsia="Times New Roman" w:hAnsi="Arial Narrow" w:cs="Times New Roman"/>
          <w:color w:val="000000"/>
          <w:sz w:val="20"/>
          <w:szCs w:val="20"/>
          <w:lang w:eastAsia="es-ES"/>
        </w:rPr>
      </w:pPr>
    </w:p>
    <w:p w:rsidR="00216233" w:rsidRPr="00216233" w:rsidRDefault="00216233" w:rsidP="00216233">
      <w:pPr>
        <w:spacing w:after="0" w:line="240" w:lineRule="auto"/>
        <w:jc w:val="center"/>
        <w:rPr>
          <w:rFonts w:ascii="Arial Narrow" w:eastAsia="Times New Roman" w:hAnsi="Arial Narrow" w:cs="Times New Roman"/>
          <w:color w:val="000000"/>
          <w:sz w:val="20"/>
          <w:szCs w:val="20"/>
          <w:lang w:eastAsia="es-ES"/>
        </w:rPr>
      </w:pPr>
    </w:p>
    <w:p w:rsidR="00216233" w:rsidRPr="00216233" w:rsidRDefault="00216233" w:rsidP="00216233">
      <w:pPr>
        <w:spacing w:after="0" w:line="240" w:lineRule="auto"/>
        <w:jc w:val="center"/>
        <w:rPr>
          <w:rFonts w:ascii="Arial Narrow" w:eastAsia="Times New Roman" w:hAnsi="Arial Narrow" w:cs="Times New Roman"/>
          <w:color w:val="000000"/>
          <w:sz w:val="20"/>
          <w:szCs w:val="20"/>
          <w:lang w:eastAsia="es-ES"/>
        </w:rPr>
      </w:pPr>
    </w:p>
    <w:p w:rsidR="00216233" w:rsidRPr="00216233" w:rsidRDefault="00216233" w:rsidP="00216233">
      <w:pPr>
        <w:spacing w:after="0" w:line="240" w:lineRule="auto"/>
        <w:jc w:val="center"/>
        <w:rPr>
          <w:rFonts w:ascii="Arial Narrow" w:eastAsia="Times New Roman" w:hAnsi="Arial Narrow" w:cs="Times New Roman"/>
          <w:color w:val="000000"/>
          <w:sz w:val="20"/>
          <w:szCs w:val="20"/>
          <w:lang w:eastAsia="es-ES"/>
        </w:rPr>
      </w:pPr>
    </w:p>
    <w:p w:rsidR="00216233" w:rsidRPr="00216233" w:rsidRDefault="00216233" w:rsidP="00216233">
      <w:pPr>
        <w:spacing w:after="0" w:line="240" w:lineRule="auto"/>
        <w:jc w:val="both"/>
        <w:rPr>
          <w:rFonts w:ascii="Arial Narrow" w:eastAsia="Times New Roman" w:hAnsi="Arial Narrow" w:cs="Times New Roman"/>
          <w:color w:val="000000"/>
          <w:sz w:val="20"/>
          <w:szCs w:val="20"/>
          <w:lang w:eastAsia="es-ES"/>
        </w:rPr>
      </w:pPr>
      <w:r w:rsidRPr="00216233">
        <w:rPr>
          <w:rFonts w:ascii="Arial Narrow" w:eastAsia="Times New Roman" w:hAnsi="Arial Narrow" w:cs="Times New Roman"/>
          <w:color w:val="000000"/>
          <w:sz w:val="20"/>
          <w:szCs w:val="20"/>
          <w:lang w:eastAsia="es-ES"/>
        </w:rPr>
        <w:t xml:space="preserve">Jenny Jiménez Vargas, </w:t>
      </w:r>
    </w:p>
    <w:p w:rsidR="00216233" w:rsidRPr="00216233" w:rsidRDefault="00216233" w:rsidP="00216233">
      <w:pPr>
        <w:spacing w:after="0" w:line="240" w:lineRule="auto"/>
        <w:jc w:val="both"/>
        <w:rPr>
          <w:rFonts w:ascii="Arial Narrow" w:eastAsia="Times New Roman" w:hAnsi="Arial Narrow" w:cs="Times New Roman"/>
          <w:color w:val="000000"/>
          <w:sz w:val="20"/>
          <w:szCs w:val="20"/>
          <w:lang w:eastAsia="es-ES"/>
        </w:rPr>
      </w:pPr>
      <w:r w:rsidRPr="00216233">
        <w:rPr>
          <w:rFonts w:ascii="Arial Narrow" w:eastAsia="Times New Roman" w:hAnsi="Arial Narrow" w:cs="Times New Roman"/>
          <w:color w:val="000000"/>
          <w:sz w:val="20"/>
          <w:szCs w:val="20"/>
          <w:lang w:eastAsia="es-ES"/>
        </w:rPr>
        <w:t>Directora Tributación Internacional y Técnica Tributaria</w:t>
      </w:r>
    </w:p>
    <w:p w:rsidR="00216233" w:rsidRPr="00216233" w:rsidRDefault="00216233" w:rsidP="00216233">
      <w:pPr>
        <w:spacing w:after="0" w:line="240" w:lineRule="auto"/>
        <w:jc w:val="both"/>
        <w:rPr>
          <w:rFonts w:ascii="Arial Narrow" w:eastAsia="Times New Roman" w:hAnsi="Arial Narrow" w:cs="Times New Roman"/>
          <w:color w:val="000000"/>
          <w:sz w:val="20"/>
          <w:szCs w:val="20"/>
          <w:lang w:eastAsia="es-ES"/>
        </w:rPr>
      </w:pPr>
    </w:p>
    <w:p w:rsidR="00216233" w:rsidRPr="00216233" w:rsidRDefault="00216233" w:rsidP="00216233">
      <w:pPr>
        <w:spacing w:after="0" w:line="240" w:lineRule="auto"/>
        <w:jc w:val="both"/>
        <w:rPr>
          <w:rFonts w:ascii="Arial Narrow" w:eastAsia="Times New Roman" w:hAnsi="Arial Narrow" w:cs="Times New Roman"/>
          <w:color w:val="000000"/>
          <w:sz w:val="20"/>
          <w:szCs w:val="20"/>
          <w:lang w:eastAsia="es-ES"/>
        </w:rPr>
      </w:pPr>
    </w:p>
    <w:p w:rsidR="00216233" w:rsidRPr="00216233" w:rsidRDefault="00216233" w:rsidP="00216233">
      <w:pPr>
        <w:spacing w:after="0" w:line="240" w:lineRule="auto"/>
        <w:jc w:val="both"/>
        <w:rPr>
          <w:rFonts w:ascii="Arial Narrow" w:eastAsia="Times New Roman" w:hAnsi="Arial Narrow" w:cs="Times New Roman"/>
          <w:color w:val="000000"/>
          <w:sz w:val="20"/>
          <w:szCs w:val="20"/>
          <w:lang w:eastAsia="es-ES"/>
        </w:rPr>
      </w:pPr>
    </w:p>
    <w:p w:rsidR="00216233" w:rsidRPr="00216233" w:rsidRDefault="00216233" w:rsidP="00216233">
      <w:pPr>
        <w:spacing w:after="0" w:line="240" w:lineRule="auto"/>
        <w:jc w:val="both"/>
        <w:rPr>
          <w:rFonts w:ascii="Arial Narrow" w:eastAsia="Times New Roman" w:hAnsi="Arial Narrow" w:cs="Times New Roman"/>
          <w:color w:val="000000"/>
          <w:sz w:val="20"/>
          <w:szCs w:val="20"/>
          <w:lang w:eastAsia="es-ES"/>
        </w:rPr>
      </w:pPr>
    </w:p>
    <w:p w:rsidR="00216233" w:rsidRPr="00216233" w:rsidRDefault="00216233" w:rsidP="00216233">
      <w:pPr>
        <w:spacing w:after="0" w:line="240" w:lineRule="auto"/>
        <w:jc w:val="both"/>
        <w:rPr>
          <w:rFonts w:ascii="Arial Narrow" w:eastAsia="Times New Roman" w:hAnsi="Arial Narrow" w:cs="Times New Roman"/>
          <w:color w:val="000000"/>
          <w:sz w:val="20"/>
          <w:szCs w:val="20"/>
          <w:lang w:eastAsia="es-ES"/>
        </w:rPr>
      </w:pPr>
      <w:r w:rsidRPr="00216233">
        <w:rPr>
          <w:rFonts w:ascii="Arial Narrow" w:eastAsia="Times New Roman" w:hAnsi="Arial Narrow" w:cs="Times New Roman"/>
          <w:color w:val="000000"/>
          <w:sz w:val="20"/>
          <w:szCs w:val="20"/>
          <w:lang w:eastAsia="es-ES"/>
        </w:rPr>
        <w:t xml:space="preserve">NGAR/ Hecho generador del impuesto de ventas respecto de bienes destruidos, hurtados o robados dispuestos para la venta. </w:t>
      </w:r>
    </w:p>
    <w:p w:rsidR="00216233" w:rsidRPr="00216233" w:rsidRDefault="00216233" w:rsidP="00216233">
      <w:pPr>
        <w:spacing w:after="0" w:line="240" w:lineRule="auto"/>
        <w:jc w:val="both"/>
        <w:rPr>
          <w:rFonts w:ascii="Arial Narrow" w:eastAsia="Times New Roman" w:hAnsi="Arial Narrow" w:cs="Times New Roman"/>
          <w:color w:val="000000"/>
          <w:sz w:val="20"/>
          <w:szCs w:val="20"/>
          <w:lang w:eastAsia="es-ES"/>
        </w:rPr>
      </w:pPr>
    </w:p>
    <w:p w:rsidR="00216233" w:rsidRPr="00216233" w:rsidRDefault="00216233" w:rsidP="00216233">
      <w:pPr>
        <w:spacing w:after="0" w:line="240" w:lineRule="auto"/>
        <w:jc w:val="both"/>
        <w:rPr>
          <w:rFonts w:ascii="Arial Narrow" w:eastAsia="Times New Roman" w:hAnsi="Arial Narrow" w:cs="Times New Roman"/>
          <w:color w:val="000000"/>
          <w:sz w:val="20"/>
          <w:szCs w:val="20"/>
          <w:lang w:eastAsia="es-ES"/>
        </w:rPr>
      </w:pPr>
    </w:p>
    <w:p w:rsidR="00216233" w:rsidRPr="00216233" w:rsidRDefault="00216233" w:rsidP="00216233">
      <w:pPr>
        <w:spacing w:after="0" w:line="240" w:lineRule="auto"/>
        <w:rPr>
          <w:rFonts w:ascii="Arial Narrow" w:eastAsia="Times New Roman" w:hAnsi="Arial Narrow" w:cs="Times New Roman"/>
          <w:sz w:val="20"/>
          <w:szCs w:val="20"/>
          <w:lang w:eastAsia="es-ES"/>
        </w:rPr>
      </w:pPr>
      <w:r w:rsidRPr="00216233">
        <w:rPr>
          <w:rFonts w:ascii="Arial Narrow" w:eastAsia="Times New Roman" w:hAnsi="Arial Narrow" w:cs="Times New Roman"/>
          <w:sz w:val="20"/>
          <w:szCs w:val="20"/>
          <w:lang w:eastAsia="es-ES"/>
        </w:rPr>
        <w:br w:type="textWrapping" w:clear="all"/>
      </w:r>
    </w:p>
    <w:p w:rsidR="00216233" w:rsidRPr="00216233" w:rsidRDefault="00216233" w:rsidP="00216233">
      <w:pPr>
        <w:spacing w:after="0" w:line="240" w:lineRule="auto"/>
        <w:rPr>
          <w:rFonts w:ascii="Arial Narrow" w:eastAsia="Times New Roman" w:hAnsi="Arial Narrow" w:cs="Times New Roman"/>
          <w:sz w:val="20"/>
          <w:szCs w:val="20"/>
          <w:lang w:eastAsia="es-ES"/>
        </w:rPr>
      </w:pPr>
    </w:p>
    <w:p w:rsidR="00C868F5" w:rsidRPr="00216233" w:rsidRDefault="0066513E">
      <w:pPr>
        <w:rPr>
          <w:rFonts w:ascii="Arial Narrow" w:hAnsi="Arial Narrow"/>
          <w:sz w:val="20"/>
          <w:szCs w:val="20"/>
        </w:rPr>
      </w:pPr>
    </w:p>
    <w:sectPr w:rsidR="00C868F5" w:rsidRPr="00216233" w:rsidSect="0021623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13E" w:rsidRDefault="0066513E" w:rsidP="00216233">
      <w:pPr>
        <w:spacing w:after="0" w:line="240" w:lineRule="auto"/>
      </w:pPr>
      <w:r>
        <w:separator/>
      </w:r>
    </w:p>
  </w:endnote>
  <w:endnote w:type="continuationSeparator" w:id="0">
    <w:p w:rsidR="0066513E" w:rsidRDefault="0066513E" w:rsidP="002162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13E" w:rsidRDefault="0066513E" w:rsidP="00216233">
      <w:pPr>
        <w:spacing w:after="0" w:line="240" w:lineRule="auto"/>
      </w:pPr>
      <w:r>
        <w:separator/>
      </w:r>
    </w:p>
  </w:footnote>
  <w:footnote w:type="continuationSeparator" w:id="0">
    <w:p w:rsidR="0066513E" w:rsidRDefault="0066513E" w:rsidP="00216233">
      <w:pPr>
        <w:spacing w:after="0" w:line="240" w:lineRule="auto"/>
      </w:pPr>
      <w:r>
        <w:continuationSeparator/>
      </w:r>
    </w:p>
  </w:footnote>
  <w:footnote w:id="1">
    <w:p w:rsidR="00216233" w:rsidRDefault="00216233" w:rsidP="00216233">
      <w:pPr>
        <w:pStyle w:val="Textonotapie"/>
      </w:pPr>
      <w:r>
        <w:rPr>
          <w:rStyle w:val="Refdenotaalpie"/>
        </w:rPr>
        <w:footnoteRef/>
      </w:r>
      <w:r>
        <w:rPr>
          <w:rStyle w:val="Refdenotaalpie"/>
        </w:rPr>
        <w:t>[1]</w:t>
      </w:r>
      <w:r>
        <w:t xml:space="preserve"> También véase los oficios DGT-242-2010 de fecha 16 de marzo de 2010 y DGT-009-2011 de fecha 14 de enero de 2011, los cuales también siguen la línea de criterio sostenida por la Dirección General de Tributación.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16233"/>
    <w:rsid w:val="00216233"/>
    <w:rsid w:val="00372036"/>
    <w:rsid w:val="003A225B"/>
    <w:rsid w:val="0066513E"/>
    <w:rsid w:val="00A8601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03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16233"/>
    <w:rPr>
      <w:color w:val="0000FF"/>
      <w:u w:val="single"/>
    </w:rPr>
  </w:style>
  <w:style w:type="paragraph" w:styleId="Textonotapie">
    <w:name w:val="footnote text"/>
    <w:basedOn w:val="Normal"/>
    <w:link w:val="TextonotapieCar"/>
    <w:uiPriority w:val="99"/>
    <w:semiHidden/>
    <w:unhideWhenUsed/>
    <w:rsid w:val="0021623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semiHidden/>
    <w:rsid w:val="00216233"/>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216233"/>
    <w:rPr>
      <w:vertAlign w:val="superscript"/>
    </w:rPr>
  </w:style>
</w:styles>
</file>

<file path=word/webSettings.xml><?xml version="1.0" encoding="utf-8"?>
<w:webSettings xmlns:r="http://schemas.openxmlformats.org/officeDocument/2006/relationships" xmlns:w="http://schemas.openxmlformats.org/wordprocessingml/2006/main">
  <w:divs>
    <w:div w:id="2067482620">
      <w:bodyDiv w:val="1"/>
      <w:marLeft w:val="0"/>
      <w:marRight w:val="0"/>
      <w:marTop w:val="0"/>
      <w:marBottom w:val="0"/>
      <w:divBdr>
        <w:top w:val="none" w:sz="0" w:space="0" w:color="auto"/>
        <w:left w:val="none" w:sz="0" w:space="0" w:color="auto"/>
        <w:bottom w:val="none" w:sz="0" w:space="0" w:color="auto"/>
        <w:right w:val="none" w:sz="0" w:space="0" w:color="auto"/>
      </w:divBdr>
      <w:divsChild>
        <w:div w:id="1037855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cienda.go.c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960</Words>
  <Characters>5284</Characters>
  <Application>Microsoft Office Word</Application>
  <DocSecurity>0</DocSecurity>
  <Lines>44</Lines>
  <Paragraphs>12</Paragraphs>
  <ScaleCrop>false</ScaleCrop>
  <Company/>
  <LinksUpToDate>false</LinksUpToDate>
  <CharactersWithSpaces>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barquerohc</dc:creator>
  <cp:keywords/>
  <dc:description/>
  <cp:lastModifiedBy>barquerohc</cp:lastModifiedBy>
  <cp:revision>1</cp:revision>
  <dcterms:created xsi:type="dcterms:W3CDTF">2013-01-11T14:42:00Z</dcterms:created>
  <dcterms:modified xsi:type="dcterms:W3CDTF">2013-01-11T14:44:00Z</dcterms:modified>
</cp:coreProperties>
</file>